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2E5" w:rsidRDefault="009D6722" w:rsidP="0091176F">
      <w:pPr>
        <w:tabs>
          <w:tab w:val="left" w:pos="2160"/>
        </w:tabs>
      </w:pPr>
      <w:r>
        <w:rPr>
          <w:noProof/>
          <w:lang w:eastAsia="en-GB"/>
        </w:rPr>
        <mc:AlternateContent>
          <mc:Choice Requires="wps">
            <w:drawing>
              <wp:anchor distT="0" distB="0" distL="114300" distR="114300" simplePos="0" relativeHeight="251657728" behindDoc="1" locked="0" layoutInCell="1" allowOverlap="1">
                <wp:simplePos x="0" y="0"/>
                <wp:positionH relativeFrom="column">
                  <wp:posOffset>4219575</wp:posOffset>
                </wp:positionH>
                <wp:positionV relativeFrom="paragraph">
                  <wp:posOffset>11430</wp:posOffset>
                </wp:positionV>
                <wp:extent cx="1121410" cy="1350010"/>
                <wp:effectExtent l="0" t="1905" r="2540" b="635"/>
                <wp:wrapTight wrapText="bothSides">
                  <wp:wrapPolygon edited="0">
                    <wp:start x="-183" y="0"/>
                    <wp:lineTo x="-183" y="21448"/>
                    <wp:lineTo x="21600" y="21448"/>
                    <wp:lineTo x="21600" y="0"/>
                    <wp:lineTo x="-183"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1410" cy="135001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91176F" w:rsidRDefault="009D6722">
                            <w:r>
                              <w:rPr>
                                <w:noProof/>
                                <w:lang w:eastAsia="en-GB"/>
                              </w:rPr>
                              <w:drawing>
                                <wp:inline distT="0" distB="0" distL="0" distR="0">
                                  <wp:extent cx="939800" cy="1257300"/>
                                  <wp:effectExtent l="0" t="0" r="0" b="0"/>
                                  <wp:docPr id="2" name="Picture 2"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cc_bl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9800" cy="125730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2.25pt;margin-top:.9pt;width:88.3pt;height:106.3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" stroked="f" strokeweight="0">
                <v:textbox style="mso-fit-shape-to-text:t">
                  <w:txbxContent>
                    <w:p w:rsidR="0091176F" w:rsidRDefault="009D6722">
                      <w:r>
                        <w:rPr>
                          <w:noProof/>
                          <w:lang w:eastAsia="en-GB"/>
                        </w:rPr>
                        <w:drawing>
                          <wp:inline distT="0" distB="0" distL="0" distR="0">
                            <wp:extent cx="939800" cy="1257300"/>
                            <wp:effectExtent l="0" t="0" r="0" b="0"/>
                            <wp:docPr id="2" name="Picture 2"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cc_bl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0" cy="1257300"/>
                                    </a:xfrm>
                                    <a:prstGeom prst="rect">
                                      <a:avLst/>
                                    </a:prstGeom>
                                    <a:noFill/>
                                    <a:ln>
                                      <a:noFill/>
                                    </a:ln>
                                  </pic:spPr>
                                </pic:pic>
                              </a:graphicData>
                            </a:graphic>
                          </wp:inline>
                        </w:drawing>
                      </w:r>
                    </w:p>
                  </w:txbxContent>
                </v:textbox>
                <w10:wrap type="tight"/>
              </v:shape>
            </w:pict>
          </mc:Fallback>
        </mc:AlternateContent>
      </w:r>
    </w:p>
    <w:p w:rsidR="0091176F" w:rsidRDefault="0091176F" w:rsidP="0091176F">
      <w:pPr>
        <w:tabs>
          <w:tab w:val="left" w:pos="2160"/>
        </w:tabs>
      </w:pPr>
    </w:p>
    <w:p w:rsidR="0091176F" w:rsidRDefault="0091176F" w:rsidP="0091176F">
      <w:pPr>
        <w:tabs>
          <w:tab w:val="left" w:pos="2160"/>
        </w:tabs>
      </w:pPr>
    </w:p>
    <w:p w:rsidR="0091176F" w:rsidRDefault="0091176F" w:rsidP="0091176F">
      <w:pPr>
        <w:tabs>
          <w:tab w:val="left" w:pos="2160"/>
        </w:tabs>
      </w:pPr>
    </w:p>
    <w:p w:rsidR="0091176F" w:rsidRDefault="0091176F" w:rsidP="0091176F">
      <w:pPr>
        <w:tabs>
          <w:tab w:val="left" w:pos="2160"/>
        </w:tabs>
      </w:pPr>
    </w:p>
    <w:p w:rsidR="0091176F" w:rsidRPr="009142E5" w:rsidRDefault="0091176F" w:rsidP="0091176F">
      <w:pPr>
        <w:tabs>
          <w:tab w:val="left" w:pos="2160"/>
        </w:tabs>
        <w:jc w:val="right"/>
        <w:rPr>
          <w:rFonts w:cs="Arial"/>
          <w:bCs/>
        </w:rPr>
      </w:pPr>
    </w:p>
    <w:p w:rsidR="009142E5" w:rsidRPr="0091176F" w:rsidRDefault="009142E5" w:rsidP="005D4C4D">
      <w:pPr>
        <w:tabs>
          <w:tab w:val="left" w:pos="2160"/>
        </w:tabs>
        <w:rPr>
          <w:rFonts w:cs="Arial"/>
          <w:b/>
          <w:bCs/>
          <w:u w:val="single"/>
        </w:rPr>
      </w:pPr>
    </w:p>
    <w:p w:rsidR="009142E5" w:rsidRPr="009142E5" w:rsidRDefault="009142E5" w:rsidP="005D4C4D">
      <w:pPr>
        <w:tabs>
          <w:tab w:val="left" w:pos="2160"/>
        </w:tabs>
        <w:rPr>
          <w:rFonts w:cs="Arial"/>
          <w:bCs/>
        </w:rPr>
      </w:pPr>
    </w:p>
    <w:p w:rsidR="005D4C4D" w:rsidRDefault="005D4C4D" w:rsidP="005D4C4D">
      <w:pPr>
        <w:tabs>
          <w:tab w:val="left" w:pos="2160"/>
        </w:tabs>
        <w:rPr>
          <w:rFonts w:cs="Arial"/>
          <w:b/>
          <w:bCs/>
        </w:rPr>
      </w:pPr>
      <w:r>
        <w:rPr>
          <w:rFonts w:cs="Arial"/>
          <w:b/>
          <w:bCs/>
        </w:rPr>
        <w:t xml:space="preserve">To: </w:t>
      </w:r>
      <w:r>
        <w:rPr>
          <w:rFonts w:cs="Arial"/>
          <w:b/>
          <w:bCs/>
        </w:rPr>
        <w:tab/>
      </w:r>
      <w:r w:rsidR="00A32A7B">
        <w:rPr>
          <w:rFonts w:cs="Arial"/>
          <w:b/>
          <w:bCs/>
        </w:rPr>
        <w:t>Audit and Governance Committee</w:t>
      </w:r>
    </w:p>
    <w:p w:rsidR="005D4C4D" w:rsidRDefault="005D4C4D" w:rsidP="005D4C4D">
      <w:pPr>
        <w:rPr>
          <w:rFonts w:cs="Arial"/>
          <w:b/>
          <w:bCs/>
        </w:rPr>
      </w:pPr>
    </w:p>
    <w:p w:rsidR="00E21EE8" w:rsidRDefault="005D4C4D" w:rsidP="005D4C4D">
      <w:pPr>
        <w:tabs>
          <w:tab w:val="left" w:pos="2160"/>
          <w:tab w:val="left" w:pos="6300"/>
          <w:tab w:val="left" w:pos="7380"/>
        </w:tabs>
        <w:rPr>
          <w:rFonts w:cs="Arial"/>
          <w:b/>
          <w:bCs/>
        </w:rPr>
      </w:pPr>
      <w:r>
        <w:rPr>
          <w:rFonts w:cs="Arial"/>
          <w:b/>
          <w:bCs/>
        </w:rPr>
        <w:t>Date:</w:t>
      </w:r>
      <w:r>
        <w:rPr>
          <w:rFonts w:cs="Arial"/>
          <w:b/>
          <w:bCs/>
        </w:rPr>
        <w:tab/>
      </w:r>
      <w:r w:rsidR="00006806">
        <w:rPr>
          <w:rFonts w:cs="Arial"/>
          <w:b/>
          <w:bCs/>
        </w:rPr>
        <w:t>1</w:t>
      </w:r>
      <w:r w:rsidR="00E26FB2">
        <w:rPr>
          <w:rFonts w:cs="Arial"/>
          <w:b/>
          <w:bCs/>
        </w:rPr>
        <w:t>6</w:t>
      </w:r>
      <w:r w:rsidR="00AA7C75">
        <w:rPr>
          <w:rFonts w:cs="Arial"/>
          <w:b/>
          <w:bCs/>
        </w:rPr>
        <w:t xml:space="preserve"> </w:t>
      </w:r>
      <w:r w:rsidR="00E26FB2">
        <w:rPr>
          <w:rFonts w:cs="Arial"/>
          <w:b/>
          <w:bCs/>
        </w:rPr>
        <w:t>Dec</w:t>
      </w:r>
      <w:r w:rsidR="00006806">
        <w:rPr>
          <w:rFonts w:cs="Arial"/>
          <w:b/>
          <w:bCs/>
        </w:rPr>
        <w:t>ember</w:t>
      </w:r>
      <w:r w:rsidR="00EE5600">
        <w:rPr>
          <w:rFonts w:cs="Arial"/>
          <w:b/>
          <w:bCs/>
        </w:rPr>
        <w:t xml:space="preserve"> 2015</w:t>
      </w:r>
    </w:p>
    <w:p w:rsidR="005D4C4D" w:rsidRDefault="005D4C4D" w:rsidP="005D4C4D">
      <w:pPr>
        <w:jc w:val="right"/>
        <w:rPr>
          <w:rFonts w:cs="Arial"/>
          <w:b/>
          <w:bCs/>
        </w:rPr>
      </w:pPr>
    </w:p>
    <w:p w:rsidR="005D4C4D" w:rsidRDefault="005D4C4D" w:rsidP="005D4C4D">
      <w:pPr>
        <w:rPr>
          <w:rFonts w:cs="Arial"/>
          <w:b/>
          <w:bCs/>
        </w:rPr>
      </w:pPr>
      <w:r>
        <w:rPr>
          <w:rFonts w:cs="Arial"/>
          <w:b/>
          <w:bCs/>
        </w:rPr>
        <w:t>Report of:</w:t>
      </w:r>
      <w:r>
        <w:rPr>
          <w:rFonts w:cs="Arial"/>
          <w:b/>
          <w:bCs/>
        </w:rPr>
        <w:tab/>
      </w:r>
      <w:r>
        <w:rPr>
          <w:rFonts w:cs="Arial"/>
          <w:b/>
          <w:bCs/>
        </w:rPr>
        <w:tab/>
        <w:t>Head of Financ</w:t>
      </w:r>
      <w:r w:rsidR="00AF7455">
        <w:rPr>
          <w:rFonts w:cs="Arial"/>
          <w:b/>
          <w:bCs/>
        </w:rPr>
        <w:t>ial Services</w:t>
      </w:r>
    </w:p>
    <w:p w:rsidR="005D4C4D" w:rsidRDefault="005D4C4D" w:rsidP="005D4C4D">
      <w:pPr>
        <w:tabs>
          <w:tab w:val="left" w:pos="2160"/>
        </w:tabs>
        <w:rPr>
          <w:rFonts w:cs="Arial"/>
          <w:b/>
          <w:bCs/>
        </w:rPr>
      </w:pPr>
    </w:p>
    <w:p w:rsidR="005D4C4D" w:rsidRDefault="005D4C4D" w:rsidP="003B022E">
      <w:pPr>
        <w:tabs>
          <w:tab w:val="left" w:pos="2160"/>
        </w:tabs>
        <w:ind w:left="2160" w:hanging="2160"/>
        <w:rPr>
          <w:rFonts w:cs="Arial"/>
          <w:b/>
          <w:bCs/>
        </w:rPr>
      </w:pPr>
      <w:r>
        <w:rPr>
          <w:rFonts w:cs="Arial"/>
          <w:b/>
          <w:bCs/>
        </w:rPr>
        <w:t xml:space="preserve">Title of Report: </w:t>
      </w:r>
      <w:r>
        <w:rPr>
          <w:rFonts w:cs="Arial"/>
          <w:b/>
          <w:bCs/>
        </w:rPr>
        <w:tab/>
      </w:r>
      <w:r w:rsidR="0018188C">
        <w:rPr>
          <w:rFonts w:cs="Arial"/>
          <w:b/>
          <w:bCs/>
        </w:rPr>
        <w:t>Risk Management Quarterly Reporting</w:t>
      </w:r>
      <w:r w:rsidR="00A91CBA">
        <w:rPr>
          <w:rFonts w:cs="Arial"/>
          <w:b/>
          <w:bCs/>
        </w:rPr>
        <w:t xml:space="preserve">: Quarter </w:t>
      </w:r>
      <w:r w:rsidR="00E26FB2">
        <w:rPr>
          <w:rFonts w:cs="Arial"/>
          <w:b/>
          <w:bCs/>
        </w:rPr>
        <w:t>2</w:t>
      </w:r>
      <w:r w:rsidR="00A91CBA">
        <w:rPr>
          <w:rFonts w:cs="Arial"/>
          <w:b/>
          <w:bCs/>
        </w:rPr>
        <w:t xml:space="preserve"> 2015/16</w:t>
      </w:r>
    </w:p>
    <w:p w:rsidR="005D4C4D" w:rsidRDefault="005D4C4D" w:rsidP="005D4C4D">
      <w:pPr>
        <w:rPr>
          <w:rFonts w:cs="Arial"/>
        </w:rPr>
      </w:pPr>
    </w:p>
    <w:p w:rsidR="005D4C4D" w:rsidRDefault="005D4C4D" w:rsidP="005D4C4D">
      <w:pPr>
        <w:pStyle w:val="Heading1"/>
        <w:pBdr>
          <w:top w:val="single" w:sz="4" w:space="1" w:color="auto"/>
          <w:left w:val="single" w:sz="4" w:space="4" w:color="auto"/>
          <w:bottom w:val="single" w:sz="4" w:space="1" w:color="auto"/>
          <w:right w:val="single" w:sz="4" w:space="4" w:color="auto"/>
        </w:pBdr>
        <w:jc w:val="center"/>
        <w:rPr>
          <w:u w:val="single"/>
        </w:rPr>
      </w:pPr>
    </w:p>
    <w:p w:rsidR="005D4C4D" w:rsidRDefault="005D4C4D" w:rsidP="005D4C4D">
      <w:pPr>
        <w:pStyle w:val="Heading1"/>
        <w:pBdr>
          <w:top w:val="single" w:sz="4" w:space="1" w:color="auto"/>
          <w:left w:val="single" w:sz="4" w:space="4" w:color="auto"/>
          <w:bottom w:val="single" w:sz="4" w:space="1" w:color="auto"/>
          <w:right w:val="single" w:sz="4" w:space="4" w:color="auto"/>
        </w:pBdr>
        <w:jc w:val="center"/>
        <w:rPr>
          <w:u w:val="single"/>
        </w:rPr>
      </w:pPr>
      <w:r>
        <w:rPr>
          <w:u w:val="single"/>
        </w:rPr>
        <w:t>Summary and Recommendations</w:t>
      </w:r>
    </w:p>
    <w:p w:rsidR="005D4C4D" w:rsidRDefault="005D4C4D" w:rsidP="005D4C4D">
      <w:pPr>
        <w:pBdr>
          <w:top w:val="single" w:sz="4" w:space="1" w:color="auto"/>
          <w:left w:val="single" w:sz="4" w:space="4" w:color="auto"/>
          <w:bottom w:val="single" w:sz="4" w:space="1" w:color="auto"/>
          <w:right w:val="single" w:sz="4" w:space="4" w:color="auto"/>
        </w:pBdr>
        <w:rPr>
          <w:rFonts w:cs="Arial"/>
        </w:rPr>
      </w:pPr>
    </w:p>
    <w:p w:rsidR="001D1A03" w:rsidRDefault="005D4C4D" w:rsidP="0098273F">
      <w:pPr>
        <w:pBdr>
          <w:top w:val="single" w:sz="4" w:space="1" w:color="auto"/>
          <w:left w:val="single" w:sz="4" w:space="4" w:color="auto"/>
          <w:bottom w:val="single" w:sz="4" w:space="1" w:color="auto"/>
          <w:right w:val="single" w:sz="4" w:space="4" w:color="auto"/>
        </w:pBdr>
        <w:tabs>
          <w:tab w:val="left" w:pos="2268"/>
          <w:tab w:val="left" w:pos="3119"/>
        </w:tabs>
        <w:rPr>
          <w:rFonts w:cs="Arial"/>
        </w:rPr>
      </w:pPr>
      <w:r>
        <w:rPr>
          <w:rFonts w:cs="Arial"/>
          <w:b/>
          <w:bCs/>
        </w:rPr>
        <w:t>Purpose of report</w:t>
      </w:r>
      <w:r w:rsidR="001D1A03">
        <w:rPr>
          <w:rFonts w:cs="Arial"/>
        </w:rPr>
        <w:t>:</w:t>
      </w:r>
      <w:r w:rsidR="00A32A7B">
        <w:rPr>
          <w:rFonts w:cs="Arial"/>
        </w:rPr>
        <w:tab/>
      </w:r>
      <w:r w:rsidR="00A91CBA" w:rsidRPr="00A91CBA">
        <w:rPr>
          <w:rFonts w:cs="Arial"/>
        </w:rPr>
        <w:t xml:space="preserve">To update the Committee on both corporate and service risks as at the end of Quarter </w:t>
      </w:r>
      <w:r w:rsidR="00E26FB2">
        <w:rPr>
          <w:rFonts w:cs="Arial"/>
        </w:rPr>
        <w:t>2</w:t>
      </w:r>
      <w:r w:rsidR="00A91CBA" w:rsidRPr="00A91CBA">
        <w:rPr>
          <w:rFonts w:cs="Arial"/>
        </w:rPr>
        <w:t>, 3</w:t>
      </w:r>
      <w:r w:rsidR="00A91CBA">
        <w:rPr>
          <w:rFonts w:cs="Arial"/>
        </w:rPr>
        <w:t>0</w:t>
      </w:r>
      <w:r w:rsidR="00A91CBA" w:rsidRPr="00A91CBA">
        <w:rPr>
          <w:rFonts w:cs="Arial"/>
          <w:vertAlign w:val="superscript"/>
        </w:rPr>
        <w:t>th</w:t>
      </w:r>
      <w:r w:rsidR="00A91CBA">
        <w:rPr>
          <w:rFonts w:cs="Arial"/>
        </w:rPr>
        <w:t xml:space="preserve"> </w:t>
      </w:r>
      <w:r w:rsidR="00E26FB2">
        <w:rPr>
          <w:rFonts w:cs="Arial"/>
        </w:rPr>
        <w:t>September</w:t>
      </w:r>
      <w:r w:rsidR="00A91CBA">
        <w:rPr>
          <w:rFonts w:cs="Arial"/>
        </w:rPr>
        <w:t xml:space="preserve"> 2015</w:t>
      </w:r>
      <w:r w:rsidR="00A91CBA" w:rsidRPr="00A91CBA">
        <w:rPr>
          <w:rFonts w:cs="Arial"/>
        </w:rPr>
        <w:t>.</w:t>
      </w:r>
    </w:p>
    <w:p w:rsidR="005D4C4D" w:rsidRDefault="005D4C4D" w:rsidP="005D4C4D">
      <w:pPr>
        <w:pBdr>
          <w:top w:val="single" w:sz="4" w:space="1" w:color="auto"/>
          <w:left w:val="single" w:sz="4" w:space="4" w:color="auto"/>
          <w:bottom w:val="single" w:sz="4" w:space="1" w:color="auto"/>
          <w:right w:val="single" w:sz="4" w:space="4" w:color="auto"/>
        </w:pBdr>
        <w:rPr>
          <w:rFonts w:cs="Arial"/>
        </w:rPr>
      </w:pPr>
    </w:p>
    <w:p w:rsidR="005D4C4D" w:rsidRDefault="005D4C4D" w:rsidP="00A32A7B">
      <w:pPr>
        <w:pStyle w:val="Heading1"/>
        <w:pBdr>
          <w:top w:val="single" w:sz="4" w:space="1" w:color="auto"/>
          <w:left w:val="single" w:sz="4" w:space="4" w:color="auto"/>
          <w:bottom w:val="single" w:sz="4" w:space="1" w:color="auto"/>
          <w:right w:val="single" w:sz="4" w:space="4" w:color="auto"/>
        </w:pBdr>
        <w:tabs>
          <w:tab w:val="left" w:pos="3119"/>
        </w:tabs>
        <w:rPr>
          <w:bCs w:val="0"/>
        </w:rPr>
      </w:pPr>
      <w:r>
        <w:rPr>
          <w:bCs w:val="0"/>
        </w:rPr>
        <w:t>Key decision</w:t>
      </w:r>
      <w:r w:rsidR="00AC4B4B">
        <w:rPr>
          <w:bCs w:val="0"/>
        </w:rPr>
        <w:t>:</w:t>
      </w:r>
      <w:r w:rsidR="00A32A7B">
        <w:rPr>
          <w:bCs w:val="0"/>
        </w:rPr>
        <w:tab/>
      </w:r>
      <w:r w:rsidR="00DE11B2">
        <w:rPr>
          <w:bCs w:val="0"/>
        </w:rPr>
        <w:t>No</w:t>
      </w:r>
      <w:r>
        <w:rPr>
          <w:bCs w:val="0"/>
        </w:rPr>
        <w:t xml:space="preserve"> </w:t>
      </w:r>
    </w:p>
    <w:p w:rsidR="005D4C4D" w:rsidRDefault="005D4C4D" w:rsidP="005D4C4D">
      <w:pPr>
        <w:pBdr>
          <w:top w:val="single" w:sz="4" w:space="1" w:color="auto"/>
          <w:left w:val="single" w:sz="4" w:space="4" w:color="auto"/>
          <w:bottom w:val="single" w:sz="4" w:space="1" w:color="auto"/>
          <w:right w:val="single" w:sz="4" w:space="4" w:color="auto"/>
        </w:pBdr>
        <w:rPr>
          <w:rFonts w:cs="Arial"/>
        </w:rPr>
      </w:pPr>
    </w:p>
    <w:p w:rsidR="005D4C4D" w:rsidRDefault="00A32A7B" w:rsidP="00A32A7B">
      <w:pPr>
        <w:pBdr>
          <w:top w:val="single" w:sz="4" w:space="1" w:color="auto"/>
          <w:left w:val="single" w:sz="4" w:space="4" w:color="auto"/>
          <w:bottom w:val="single" w:sz="4" w:space="1" w:color="auto"/>
          <w:right w:val="single" w:sz="4" w:space="4" w:color="auto"/>
        </w:pBdr>
        <w:tabs>
          <w:tab w:val="left" w:pos="3119"/>
        </w:tabs>
        <w:rPr>
          <w:rFonts w:cs="Arial"/>
          <w:b/>
          <w:bCs/>
        </w:rPr>
      </w:pPr>
      <w:r>
        <w:rPr>
          <w:rFonts w:cs="Arial"/>
          <w:b/>
          <w:bCs/>
        </w:rPr>
        <w:t>Executive lead member:</w:t>
      </w:r>
      <w:r>
        <w:rPr>
          <w:rFonts w:cs="Arial"/>
          <w:b/>
          <w:bCs/>
        </w:rPr>
        <w:tab/>
      </w:r>
      <w:r w:rsidR="00AC4B4B">
        <w:rPr>
          <w:rFonts w:cs="Arial"/>
          <w:b/>
          <w:bCs/>
        </w:rPr>
        <w:t>Councillor Ed Turner</w:t>
      </w:r>
    </w:p>
    <w:p w:rsidR="005D4C4D" w:rsidRDefault="005D4C4D" w:rsidP="005D4C4D">
      <w:pPr>
        <w:pStyle w:val="Heading1"/>
        <w:pBdr>
          <w:top w:val="single" w:sz="4" w:space="1" w:color="auto"/>
          <w:left w:val="single" w:sz="4" w:space="4" w:color="auto"/>
          <w:bottom w:val="single" w:sz="4" w:space="1" w:color="auto"/>
          <w:right w:val="single" w:sz="4" w:space="4" w:color="auto"/>
        </w:pBdr>
      </w:pPr>
    </w:p>
    <w:p w:rsidR="005D4C4D" w:rsidRDefault="005D4C4D" w:rsidP="00A32A7B">
      <w:pPr>
        <w:pBdr>
          <w:top w:val="single" w:sz="4" w:space="1" w:color="auto"/>
          <w:left w:val="single" w:sz="4" w:space="4" w:color="auto"/>
          <w:bottom w:val="single" w:sz="4" w:space="1" w:color="auto"/>
          <w:right w:val="single" w:sz="4" w:space="4" w:color="auto"/>
        </w:pBdr>
        <w:tabs>
          <w:tab w:val="left" w:pos="3119"/>
        </w:tabs>
        <w:rPr>
          <w:rFonts w:cs="Arial"/>
          <w:b/>
          <w:bCs/>
        </w:rPr>
      </w:pPr>
      <w:r>
        <w:rPr>
          <w:rFonts w:cs="Arial"/>
          <w:b/>
          <w:bCs/>
        </w:rPr>
        <w:t>Policy Framework:</w:t>
      </w:r>
      <w:r w:rsidR="00A32A7B">
        <w:rPr>
          <w:rFonts w:cs="Arial"/>
          <w:b/>
          <w:bCs/>
        </w:rPr>
        <w:tab/>
      </w:r>
      <w:r w:rsidR="00727ED1">
        <w:rPr>
          <w:rFonts w:cs="Arial"/>
          <w:b/>
          <w:bCs/>
        </w:rPr>
        <w:t>Efficient and effective Council</w:t>
      </w:r>
    </w:p>
    <w:p w:rsidR="005D4C4D" w:rsidRDefault="005D4C4D" w:rsidP="005D4C4D">
      <w:pPr>
        <w:pStyle w:val="Heading1"/>
        <w:pBdr>
          <w:top w:val="single" w:sz="4" w:space="1" w:color="auto"/>
          <w:left w:val="single" w:sz="4" w:space="4" w:color="auto"/>
          <w:bottom w:val="single" w:sz="4" w:space="1" w:color="auto"/>
          <w:right w:val="single" w:sz="4" w:space="4" w:color="auto"/>
        </w:pBdr>
      </w:pPr>
    </w:p>
    <w:p w:rsidR="00CE3DFC" w:rsidRPr="00A32A7B" w:rsidRDefault="000C5DA1" w:rsidP="005D4C4D">
      <w:pPr>
        <w:pBdr>
          <w:top w:val="single" w:sz="4" w:space="1" w:color="auto"/>
          <w:left w:val="single" w:sz="4" w:space="4" w:color="auto"/>
          <w:bottom w:val="single" w:sz="4" w:space="1" w:color="auto"/>
          <w:right w:val="single" w:sz="4" w:space="4" w:color="auto"/>
        </w:pBdr>
        <w:tabs>
          <w:tab w:val="left" w:pos="3048"/>
        </w:tabs>
        <w:rPr>
          <w:rFonts w:cs="Arial"/>
        </w:rPr>
      </w:pPr>
      <w:r>
        <w:rPr>
          <w:rFonts w:cs="Arial"/>
          <w:b/>
        </w:rPr>
        <w:t xml:space="preserve">Recommendation(s): </w:t>
      </w:r>
      <w:r w:rsidR="003D700B" w:rsidRPr="00AC6D86">
        <w:rPr>
          <w:rFonts w:cs="Arial"/>
        </w:rPr>
        <w:t xml:space="preserve">That the </w:t>
      </w:r>
      <w:r w:rsidR="00AC4B4B" w:rsidRPr="00AC6D86">
        <w:rPr>
          <w:rFonts w:cs="Arial"/>
        </w:rPr>
        <w:t>C</w:t>
      </w:r>
      <w:r w:rsidR="00A32A7B" w:rsidRPr="00AC6D86">
        <w:rPr>
          <w:rFonts w:cs="Arial"/>
        </w:rPr>
        <w:t xml:space="preserve">ommittee </w:t>
      </w:r>
      <w:r w:rsidR="004C0C0E">
        <w:rPr>
          <w:rFonts w:cs="Arial"/>
        </w:rPr>
        <w:t>n</w:t>
      </w:r>
      <w:r w:rsidR="00A32A7B" w:rsidRPr="004C0C0E">
        <w:rPr>
          <w:rFonts w:cs="Arial"/>
        </w:rPr>
        <w:t>ote</w:t>
      </w:r>
      <w:r w:rsidR="00A91CBA" w:rsidRPr="004C0C0E">
        <w:rPr>
          <w:rFonts w:cs="Arial"/>
        </w:rPr>
        <w:t>s</w:t>
      </w:r>
      <w:r w:rsidR="00A32A7B">
        <w:rPr>
          <w:rFonts w:cs="Arial"/>
        </w:rPr>
        <w:t xml:space="preserve"> </w:t>
      </w:r>
      <w:r w:rsidR="00A91CBA" w:rsidRPr="00A91CBA">
        <w:rPr>
          <w:rFonts w:cs="Arial"/>
        </w:rPr>
        <w:t>the contents of this report</w:t>
      </w:r>
      <w:r w:rsidR="004C0C0E">
        <w:rPr>
          <w:rFonts w:cs="Arial"/>
        </w:rPr>
        <w:t xml:space="preserve">, in particular the new Corporate Risk around the Medium Term Financial Plan </w:t>
      </w:r>
      <w:r w:rsidR="00976E30">
        <w:rPr>
          <w:rFonts w:cs="Arial"/>
        </w:rPr>
        <w:t>as set out in paragraph</w:t>
      </w:r>
      <w:r w:rsidR="007F6E5E">
        <w:rPr>
          <w:rFonts w:cs="Arial"/>
        </w:rPr>
        <w:t>s</w:t>
      </w:r>
      <w:r w:rsidR="00976E30">
        <w:rPr>
          <w:rFonts w:cs="Arial"/>
        </w:rPr>
        <w:t xml:space="preserve"> 8</w:t>
      </w:r>
      <w:r w:rsidR="007F6E5E">
        <w:rPr>
          <w:rFonts w:cs="Arial"/>
        </w:rPr>
        <w:t xml:space="preserve"> and 9</w:t>
      </w:r>
      <w:r w:rsidR="00A91CBA" w:rsidRPr="00A91CBA">
        <w:rPr>
          <w:rFonts w:cs="Arial"/>
        </w:rPr>
        <w:t>.</w:t>
      </w:r>
    </w:p>
    <w:p w:rsidR="00520C82" w:rsidRPr="00520C82" w:rsidRDefault="00520C82" w:rsidP="00A32A7B">
      <w:pPr>
        <w:pBdr>
          <w:top w:val="single" w:sz="4" w:space="1" w:color="auto"/>
          <w:left w:val="single" w:sz="4" w:space="4" w:color="auto"/>
          <w:bottom w:val="single" w:sz="4" w:space="1" w:color="auto"/>
          <w:right w:val="single" w:sz="4" w:space="4" w:color="auto"/>
        </w:pBdr>
        <w:tabs>
          <w:tab w:val="left" w:pos="284"/>
          <w:tab w:val="left" w:pos="3048"/>
        </w:tabs>
        <w:rPr>
          <w:rFonts w:cs="Arial"/>
        </w:rPr>
      </w:pPr>
    </w:p>
    <w:p w:rsidR="00A32A7B" w:rsidRDefault="00A32A7B" w:rsidP="005D4C4D">
      <w:pPr>
        <w:rPr>
          <w:rFonts w:cs="Arial"/>
          <w:b/>
        </w:rPr>
      </w:pPr>
      <w:bookmarkStart w:id="0" w:name="_GoBack"/>
      <w:bookmarkEnd w:id="0"/>
    </w:p>
    <w:p w:rsidR="007E1B08" w:rsidRDefault="00AE0538" w:rsidP="005D4C4D">
      <w:pPr>
        <w:rPr>
          <w:rFonts w:cs="Arial"/>
          <w:b/>
        </w:rPr>
      </w:pPr>
      <w:r w:rsidRPr="00AE0538">
        <w:rPr>
          <w:rFonts w:cs="Arial"/>
          <w:b/>
        </w:rPr>
        <w:t>Appendices</w:t>
      </w:r>
      <w:r w:rsidR="00EF0FA5">
        <w:rPr>
          <w:rFonts w:cs="Arial"/>
          <w:b/>
        </w:rPr>
        <w:t>:</w:t>
      </w:r>
    </w:p>
    <w:p w:rsidR="00EF0FA5" w:rsidRPr="00AE0538" w:rsidRDefault="00EF0FA5" w:rsidP="005D4C4D">
      <w:pPr>
        <w:rPr>
          <w:rFonts w:cs="Arial"/>
          <w:b/>
        </w:rPr>
      </w:pPr>
    </w:p>
    <w:p w:rsidR="00335660" w:rsidRDefault="0018188C" w:rsidP="005D4C4D">
      <w:pPr>
        <w:rPr>
          <w:rFonts w:cs="Arial"/>
        </w:rPr>
      </w:pPr>
      <w:r>
        <w:rPr>
          <w:rFonts w:cs="Arial"/>
          <w:b/>
        </w:rPr>
        <w:t xml:space="preserve">Appendix </w:t>
      </w:r>
      <w:proofErr w:type="gramStart"/>
      <w:r>
        <w:rPr>
          <w:rFonts w:cs="Arial"/>
          <w:b/>
        </w:rPr>
        <w:t>A</w:t>
      </w:r>
      <w:proofErr w:type="gramEnd"/>
      <w:r>
        <w:rPr>
          <w:rFonts w:cs="Arial"/>
          <w:b/>
        </w:rPr>
        <w:tab/>
        <w:t>Corporate Risk Register</w:t>
      </w:r>
    </w:p>
    <w:p w:rsidR="002D3856" w:rsidRDefault="002D3856" w:rsidP="002D3856">
      <w:pPr>
        <w:rPr>
          <w:rFonts w:cs="Arial"/>
        </w:rPr>
      </w:pPr>
    </w:p>
    <w:p w:rsidR="00EF0FA5" w:rsidRDefault="00EF0FA5" w:rsidP="002D3856">
      <w:pPr>
        <w:rPr>
          <w:rFonts w:cs="Arial"/>
          <w:b/>
        </w:rPr>
      </w:pPr>
      <w:r>
        <w:rPr>
          <w:rFonts w:cs="Arial"/>
          <w:b/>
        </w:rPr>
        <w:br w:type="page"/>
      </w:r>
    </w:p>
    <w:p w:rsidR="00AE0538" w:rsidRDefault="00A91CBA" w:rsidP="002D3856">
      <w:pPr>
        <w:rPr>
          <w:rFonts w:cs="Arial"/>
          <w:b/>
        </w:rPr>
      </w:pPr>
      <w:r>
        <w:rPr>
          <w:rFonts w:cs="Arial"/>
          <w:b/>
        </w:rPr>
        <w:lastRenderedPageBreak/>
        <w:t>Risk Scoring Matrix</w:t>
      </w:r>
    </w:p>
    <w:p w:rsidR="00AE0538" w:rsidRDefault="00AE0538" w:rsidP="002D3856">
      <w:pPr>
        <w:rPr>
          <w:rFonts w:cs="Arial"/>
        </w:rPr>
      </w:pPr>
    </w:p>
    <w:p w:rsidR="00A32A7B" w:rsidRDefault="00A91CBA" w:rsidP="00A32A7B">
      <w:pPr>
        <w:numPr>
          <w:ilvl w:val="0"/>
          <w:numId w:val="1"/>
        </w:numPr>
        <w:ind w:left="426" w:hanging="426"/>
        <w:rPr>
          <w:rFonts w:cs="Arial"/>
        </w:rPr>
      </w:pPr>
      <w:r w:rsidRPr="00A91CBA">
        <w:rPr>
          <w:rFonts w:cs="Arial"/>
        </w:rPr>
        <w:t>The Council</w:t>
      </w:r>
      <w:r>
        <w:rPr>
          <w:rFonts w:cs="Arial"/>
        </w:rPr>
        <w:t xml:space="preserve"> operates a ‘five by five’</w:t>
      </w:r>
      <w:r w:rsidRPr="00A91CBA">
        <w:rPr>
          <w:rFonts w:cs="Arial"/>
        </w:rPr>
        <w:t xml:space="preserve"> </w:t>
      </w:r>
      <w:r>
        <w:rPr>
          <w:rFonts w:cs="Arial"/>
        </w:rPr>
        <w:t xml:space="preserve">scoring matrix.  The </w:t>
      </w:r>
      <w:r w:rsidRPr="00A91CBA">
        <w:rPr>
          <w:rFonts w:cs="Arial"/>
        </w:rPr>
        <w:t>methodology for scoring risks is set out below along with a copy of the scoring matrix</w:t>
      </w:r>
      <w:r>
        <w:rPr>
          <w:rFonts w:cs="Arial"/>
        </w:rPr>
        <w:t xml:space="preserve"> or ‘heat map’.</w:t>
      </w:r>
    </w:p>
    <w:p w:rsidR="00A32A7B" w:rsidRDefault="00A32A7B" w:rsidP="00A32A7B">
      <w:pPr>
        <w:ind w:left="426"/>
        <w:rPr>
          <w:rFonts w:cs="Arial"/>
        </w:rPr>
      </w:pPr>
    </w:p>
    <w:p w:rsidR="00A32A7B" w:rsidRDefault="00A91CBA" w:rsidP="00A32A7B">
      <w:pPr>
        <w:numPr>
          <w:ilvl w:val="0"/>
          <w:numId w:val="1"/>
        </w:numPr>
        <w:ind w:left="426" w:hanging="426"/>
        <w:rPr>
          <w:rFonts w:cs="Arial"/>
        </w:rPr>
      </w:pPr>
      <w:r w:rsidRPr="00A91CBA">
        <w:rPr>
          <w:rFonts w:cs="Arial"/>
        </w:rPr>
        <w:t xml:space="preserve">It is possible to get the same score but end up with a different result in the heat map. For example if the probability of an event occurring is high but the impact is low it is likely to have a lower </w:t>
      </w:r>
      <w:r>
        <w:rPr>
          <w:rFonts w:cs="Arial"/>
        </w:rPr>
        <w:t>rating</w:t>
      </w:r>
      <w:r w:rsidRPr="00A91CBA">
        <w:rPr>
          <w:rFonts w:cs="Arial"/>
        </w:rPr>
        <w:t xml:space="preserve"> on the heat map. However, the higher the potential impact score the more likely the event will be classed as a red risk on the matrix.</w:t>
      </w:r>
    </w:p>
    <w:p w:rsidR="0032749E" w:rsidRDefault="0032749E" w:rsidP="0032749E">
      <w:pPr>
        <w:pStyle w:val="ListParagraph"/>
        <w:ind w:left="426"/>
        <w:rPr>
          <w:rFonts w:cs="Arial"/>
        </w:rPr>
      </w:pPr>
    </w:p>
    <w:tbl>
      <w:tblPr>
        <w:tblW w:w="9489" w:type="dxa"/>
        <w:tblInd w:w="-1169" w:type="dxa"/>
        <w:tblLook w:val="04A0" w:firstRow="1" w:lastRow="0" w:firstColumn="1" w:lastColumn="0" w:noHBand="0" w:noVBand="1"/>
      </w:tblPr>
      <w:tblGrid>
        <w:gridCol w:w="1660"/>
        <w:gridCol w:w="1120"/>
        <w:gridCol w:w="1340"/>
        <w:gridCol w:w="1340"/>
        <w:gridCol w:w="1340"/>
        <w:gridCol w:w="1340"/>
        <w:gridCol w:w="1349"/>
      </w:tblGrid>
      <w:tr w:rsidR="00B5477F" w:rsidRPr="00B5477F" w:rsidTr="00AC6D86">
        <w:trPr>
          <w:trHeight w:val="315"/>
        </w:trPr>
        <w:tc>
          <w:tcPr>
            <w:tcW w:w="1660" w:type="dxa"/>
            <w:tcBorders>
              <w:top w:val="nil"/>
              <w:left w:val="nil"/>
              <w:bottom w:val="nil"/>
              <w:right w:val="nil"/>
            </w:tcBorders>
            <w:shd w:val="clear" w:color="auto" w:fill="auto"/>
            <w:noWrap/>
            <w:vAlign w:val="center"/>
            <w:hideMark/>
          </w:tcPr>
          <w:p w:rsidR="00B5477F" w:rsidRPr="00B5477F" w:rsidRDefault="00B5477F" w:rsidP="00B5477F">
            <w:pPr>
              <w:jc w:val="center"/>
              <w:rPr>
                <w:rFonts w:ascii="Verdana" w:hAnsi="Verdana" w:cs="Calibri"/>
                <w:b/>
                <w:bCs/>
                <w:color w:val="000000"/>
                <w:sz w:val="22"/>
                <w:szCs w:val="22"/>
                <w:lang w:eastAsia="en-GB"/>
              </w:rPr>
            </w:pPr>
            <w:r w:rsidRPr="00B5477F">
              <w:rPr>
                <w:rFonts w:ascii="Verdana" w:hAnsi="Verdana" w:cs="Arial"/>
                <w:b/>
                <w:bCs/>
                <w:color w:val="000000"/>
                <w:sz w:val="22"/>
                <w:szCs w:val="22"/>
                <w:lang w:eastAsia="en-GB"/>
              </w:rPr>
              <w:t>Probability</w:t>
            </w:r>
          </w:p>
        </w:tc>
        <w:tc>
          <w:tcPr>
            <w:tcW w:w="1120" w:type="dxa"/>
            <w:tcBorders>
              <w:top w:val="nil"/>
              <w:left w:val="nil"/>
              <w:bottom w:val="nil"/>
              <w:right w:val="nil"/>
            </w:tcBorders>
            <w:shd w:val="clear" w:color="auto" w:fill="auto"/>
            <w:noWrap/>
            <w:vAlign w:val="center"/>
            <w:hideMark/>
          </w:tcPr>
          <w:p w:rsidR="00B5477F" w:rsidRPr="00B5477F" w:rsidRDefault="00B5477F" w:rsidP="00B5477F">
            <w:pPr>
              <w:rPr>
                <w:rFonts w:ascii="Verdana" w:hAnsi="Verdana" w:cs="Calibri"/>
                <w:b/>
                <w:bCs/>
                <w:color w:val="000000"/>
                <w:sz w:val="20"/>
                <w:szCs w:val="20"/>
                <w:lang w:eastAsia="en-GB"/>
              </w:rPr>
            </w:pPr>
          </w:p>
        </w:tc>
        <w:tc>
          <w:tcPr>
            <w:tcW w:w="1340" w:type="dxa"/>
            <w:tcBorders>
              <w:top w:val="nil"/>
              <w:left w:val="nil"/>
              <w:bottom w:val="nil"/>
              <w:right w:val="nil"/>
            </w:tcBorders>
            <w:shd w:val="clear" w:color="auto" w:fill="auto"/>
            <w:noWrap/>
            <w:vAlign w:val="center"/>
            <w:hideMark/>
          </w:tcPr>
          <w:p w:rsidR="00B5477F" w:rsidRPr="00B5477F" w:rsidRDefault="00B5477F" w:rsidP="00B5477F">
            <w:pPr>
              <w:rPr>
                <w:rFonts w:ascii="Verdana" w:hAnsi="Verdana" w:cs="Calibri"/>
                <w:color w:val="000000"/>
                <w:sz w:val="20"/>
                <w:szCs w:val="20"/>
                <w:lang w:eastAsia="en-GB"/>
              </w:rPr>
            </w:pPr>
          </w:p>
        </w:tc>
        <w:tc>
          <w:tcPr>
            <w:tcW w:w="1340" w:type="dxa"/>
            <w:tcBorders>
              <w:top w:val="nil"/>
              <w:left w:val="nil"/>
              <w:bottom w:val="nil"/>
              <w:right w:val="nil"/>
            </w:tcBorders>
            <w:shd w:val="clear" w:color="auto" w:fill="auto"/>
            <w:noWrap/>
            <w:vAlign w:val="center"/>
            <w:hideMark/>
          </w:tcPr>
          <w:p w:rsidR="00B5477F" w:rsidRPr="00B5477F" w:rsidRDefault="00B5477F" w:rsidP="00B5477F">
            <w:pPr>
              <w:rPr>
                <w:rFonts w:ascii="Verdana" w:hAnsi="Verdana" w:cs="Calibri"/>
                <w:color w:val="000000"/>
                <w:sz w:val="20"/>
                <w:szCs w:val="20"/>
                <w:lang w:eastAsia="en-GB"/>
              </w:rPr>
            </w:pPr>
          </w:p>
        </w:tc>
        <w:tc>
          <w:tcPr>
            <w:tcW w:w="1340" w:type="dxa"/>
            <w:tcBorders>
              <w:top w:val="nil"/>
              <w:left w:val="nil"/>
              <w:bottom w:val="nil"/>
              <w:right w:val="nil"/>
            </w:tcBorders>
            <w:shd w:val="clear" w:color="auto" w:fill="auto"/>
            <w:noWrap/>
            <w:vAlign w:val="center"/>
            <w:hideMark/>
          </w:tcPr>
          <w:p w:rsidR="00B5477F" w:rsidRPr="00B5477F" w:rsidRDefault="00B5477F" w:rsidP="00B5477F">
            <w:pPr>
              <w:rPr>
                <w:rFonts w:ascii="Verdana" w:hAnsi="Verdana" w:cs="Calibri"/>
                <w:color w:val="000000"/>
                <w:sz w:val="20"/>
                <w:szCs w:val="20"/>
                <w:lang w:eastAsia="en-GB"/>
              </w:rPr>
            </w:pPr>
          </w:p>
        </w:tc>
        <w:tc>
          <w:tcPr>
            <w:tcW w:w="1340" w:type="dxa"/>
            <w:tcBorders>
              <w:top w:val="nil"/>
              <w:left w:val="nil"/>
              <w:bottom w:val="nil"/>
              <w:right w:val="nil"/>
            </w:tcBorders>
            <w:shd w:val="clear" w:color="auto" w:fill="auto"/>
            <w:noWrap/>
            <w:vAlign w:val="center"/>
            <w:hideMark/>
          </w:tcPr>
          <w:p w:rsidR="00B5477F" w:rsidRPr="00B5477F" w:rsidRDefault="00B5477F" w:rsidP="00B5477F">
            <w:pPr>
              <w:rPr>
                <w:rFonts w:ascii="Verdana" w:hAnsi="Verdana" w:cs="Calibri"/>
                <w:color w:val="000000"/>
                <w:sz w:val="20"/>
                <w:szCs w:val="20"/>
                <w:lang w:eastAsia="en-GB"/>
              </w:rPr>
            </w:pPr>
          </w:p>
        </w:tc>
        <w:tc>
          <w:tcPr>
            <w:tcW w:w="1349" w:type="dxa"/>
            <w:tcBorders>
              <w:top w:val="nil"/>
              <w:left w:val="nil"/>
              <w:bottom w:val="nil"/>
              <w:right w:val="nil"/>
            </w:tcBorders>
            <w:shd w:val="clear" w:color="auto" w:fill="auto"/>
            <w:noWrap/>
            <w:vAlign w:val="center"/>
            <w:hideMark/>
          </w:tcPr>
          <w:p w:rsidR="00B5477F" w:rsidRPr="00B5477F" w:rsidRDefault="00B5477F" w:rsidP="00B5477F">
            <w:pPr>
              <w:rPr>
                <w:rFonts w:ascii="Verdana" w:hAnsi="Verdana" w:cs="Calibri"/>
                <w:color w:val="000000"/>
                <w:sz w:val="20"/>
                <w:szCs w:val="20"/>
                <w:lang w:eastAsia="en-GB"/>
              </w:rPr>
            </w:pPr>
          </w:p>
        </w:tc>
      </w:tr>
      <w:tr w:rsidR="00B5477F" w:rsidRPr="00B5477F" w:rsidTr="00AC6D86">
        <w:trPr>
          <w:trHeight w:val="600"/>
        </w:trPr>
        <w:tc>
          <w:tcPr>
            <w:tcW w:w="1660" w:type="dxa"/>
            <w:tcBorders>
              <w:top w:val="nil"/>
              <w:left w:val="nil"/>
              <w:bottom w:val="nil"/>
              <w:right w:val="nil"/>
            </w:tcBorders>
            <w:shd w:val="clear" w:color="auto" w:fill="auto"/>
            <w:vAlign w:val="center"/>
            <w:hideMark/>
          </w:tcPr>
          <w:p w:rsidR="00B5477F" w:rsidRPr="00B5477F" w:rsidRDefault="00B5477F" w:rsidP="00B5477F">
            <w:pPr>
              <w:jc w:val="center"/>
              <w:rPr>
                <w:rFonts w:ascii="Verdana" w:hAnsi="Verdana" w:cs="Calibri"/>
                <w:color w:val="000000"/>
                <w:sz w:val="20"/>
                <w:szCs w:val="20"/>
                <w:lang w:eastAsia="en-GB"/>
              </w:rPr>
            </w:pPr>
            <w:r w:rsidRPr="00B5477F">
              <w:rPr>
                <w:rFonts w:ascii="Verdana" w:hAnsi="Verdana" w:cs="Arial"/>
                <w:color w:val="000000"/>
                <w:sz w:val="20"/>
                <w:szCs w:val="20"/>
                <w:lang w:eastAsia="en-GB"/>
              </w:rPr>
              <w:t>Almost</w:t>
            </w:r>
            <w:r w:rsidRPr="00B5477F">
              <w:rPr>
                <w:rFonts w:ascii="Verdana" w:hAnsi="Verdana" w:cs="Arial"/>
                <w:color w:val="000000"/>
                <w:sz w:val="20"/>
                <w:szCs w:val="20"/>
                <w:lang w:eastAsia="en-GB"/>
              </w:rPr>
              <w:br/>
              <w:t>Certain</w:t>
            </w:r>
          </w:p>
        </w:tc>
        <w:tc>
          <w:tcPr>
            <w:tcW w:w="1120" w:type="dxa"/>
            <w:tcBorders>
              <w:top w:val="nil"/>
              <w:left w:val="nil"/>
              <w:bottom w:val="nil"/>
              <w:right w:val="single" w:sz="12" w:space="0" w:color="auto"/>
            </w:tcBorders>
            <w:shd w:val="clear" w:color="auto" w:fill="auto"/>
            <w:noWrap/>
            <w:vAlign w:val="center"/>
            <w:hideMark/>
          </w:tcPr>
          <w:p w:rsidR="00B5477F" w:rsidRPr="00B5477F" w:rsidRDefault="00B5477F" w:rsidP="00B5477F">
            <w:pPr>
              <w:jc w:val="center"/>
              <w:rPr>
                <w:rFonts w:ascii="Verdana" w:hAnsi="Verdana" w:cs="Calibri"/>
                <w:color w:val="000000"/>
                <w:sz w:val="20"/>
                <w:szCs w:val="20"/>
                <w:lang w:eastAsia="en-GB"/>
              </w:rPr>
            </w:pPr>
            <w:r w:rsidRPr="00B5477F">
              <w:rPr>
                <w:rFonts w:ascii="Verdana" w:hAnsi="Verdana" w:cs="Arial"/>
                <w:color w:val="000000"/>
                <w:sz w:val="20"/>
                <w:szCs w:val="20"/>
                <w:lang w:eastAsia="en-GB"/>
              </w:rPr>
              <w:t>5</w:t>
            </w:r>
          </w:p>
        </w:tc>
        <w:tc>
          <w:tcPr>
            <w:tcW w:w="1340" w:type="dxa"/>
            <w:tcBorders>
              <w:top w:val="single" w:sz="12" w:space="0" w:color="auto"/>
              <w:left w:val="nil"/>
              <w:bottom w:val="nil"/>
              <w:right w:val="nil"/>
            </w:tcBorders>
            <w:shd w:val="thinHorzStripe" w:color="000000" w:fill="00B050"/>
            <w:noWrap/>
            <w:vAlign w:val="center"/>
            <w:hideMark/>
          </w:tcPr>
          <w:p w:rsidR="00B5477F" w:rsidRPr="00B5477F" w:rsidRDefault="00B5477F" w:rsidP="00B5477F">
            <w:pPr>
              <w:jc w:val="center"/>
              <w:rPr>
                <w:rFonts w:ascii="Verdana" w:hAnsi="Verdana" w:cs="Calibri"/>
                <w:b/>
                <w:bCs/>
                <w:color w:val="000000"/>
                <w:lang w:eastAsia="en-GB"/>
              </w:rPr>
            </w:pPr>
            <w:r w:rsidRPr="00B5477F">
              <w:rPr>
                <w:rFonts w:ascii="Verdana" w:hAnsi="Verdana" w:cs="Arial"/>
                <w:b/>
                <w:bCs/>
                <w:color w:val="000000"/>
                <w:lang w:eastAsia="en-GB"/>
              </w:rPr>
              <w:t>5</w:t>
            </w:r>
          </w:p>
        </w:tc>
        <w:tc>
          <w:tcPr>
            <w:tcW w:w="1340" w:type="dxa"/>
            <w:tcBorders>
              <w:top w:val="single" w:sz="12" w:space="0" w:color="auto"/>
              <w:left w:val="nil"/>
              <w:bottom w:val="nil"/>
              <w:right w:val="nil"/>
            </w:tcBorders>
            <w:shd w:val="thinVertStripe" w:color="000000" w:fill="FFC000"/>
            <w:noWrap/>
            <w:vAlign w:val="center"/>
            <w:hideMark/>
          </w:tcPr>
          <w:p w:rsidR="00B5477F" w:rsidRPr="00B5477F" w:rsidRDefault="00B5477F" w:rsidP="00B5477F">
            <w:pPr>
              <w:jc w:val="center"/>
              <w:rPr>
                <w:rFonts w:ascii="Verdana" w:hAnsi="Verdana" w:cs="Calibri"/>
                <w:b/>
                <w:bCs/>
                <w:color w:val="000000"/>
                <w:lang w:eastAsia="en-GB"/>
              </w:rPr>
            </w:pPr>
            <w:r w:rsidRPr="00B5477F">
              <w:rPr>
                <w:rFonts w:ascii="Verdana" w:hAnsi="Verdana" w:cs="Arial"/>
                <w:b/>
                <w:bCs/>
                <w:color w:val="000000"/>
                <w:lang w:eastAsia="en-GB"/>
              </w:rPr>
              <w:t>10</w:t>
            </w:r>
          </w:p>
        </w:tc>
        <w:tc>
          <w:tcPr>
            <w:tcW w:w="1340" w:type="dxa"/>
            <w:tcBorders>
              <w:top w:val="single" w:sz="12" w:space="0" w:color="auto"/>
              <w:left w:val="nil"/>
              <w:bottom w:val="nil"/>
              <w:right w:val="nil"/>
            </w:tcBorders>
            <w:shd w:val="thinVertStripe" w:color="000000" w:fill="FFC000"/>
            <w:noWrap/>
            <w:vAlign w:val="center"/>
            <w:hideMark/>
          </w:tcPr>
          <w:p w:rsidR="00B5477F" w:rsidRPr="00B5477F" w:rsidRDefault="00B5477F" w:rsidP="00B5477F">
            <w:pPr>
              <w:jc w:val="center"/>
              <w:rPr>
                <w:rFonts w:ascii="Verdana" w:hAnsi="Verdana" w:cs="Calibri"/>
                <w:b/>
                <w:bCs/>
                <w:color w:val="000000"/>
                <w:lang w:eastAsia="en-GB"/>
              </w:rPr>
            </w:pPr>
            <w:r w:rsidRPr="00B5477F">
              <w:rPr>
                <w:rFonts w:ascii="Verdana" w:hAnsi="Verdana" w:cs="Arial"/>
                <w:b/>
                <w:bCs/>
                <w:color w:val="000000"/>
                <w:lang w:eastAsia="en-GB"/>
              </w:rPr>
              <w:t>15</w:t>
            </w:r>
          </w:p>
        </w:tc>
        <w:tc>
          <w:tcPr>
            <w:tcW w:w="1340" w:type="dxa"/>
            <w:tcBorders>
              <w:top w:val="single" w:sz="12" w:space="0" w:color="auto"/>
              <w:left w:val="nil"/>
              <w:bottom w:val="nil"/>
              <w:right w:val="nil"/>
            </w:tcBorders>
            <w:shd w:val="thinDiagCross" w:color="000000" w:fill="FF0000"/>
            <w:noWrap/>
            <w:vAlign w:val="center"/>
            <w:hideMark/>
          </w:tcPr>
          <w:p w:rsidR="00B5477F" w:rsidRPr="00B5477F" w:rsidRDefault="00B5477F" w:rsidP="00B5477F">
            <w:pPr>
              <w:jc w:val="center"/>
              <w:rPr>
                <w:rFonts w:ascii="Verdana" w:hAnsi="Verdana" w:cs="Calibri"/>
                <w:b/>
                <w:bCs/>
                <w:color w:val="000000"/>
                <w:lang w:eastAsia="en-GB"/>
              </w:rPr>
            </w:pPr>
            <w:r w:rsidRPr="00B5477F">
              <w:rPr>
                <w:rFonts w:ascii="Verdana" w:hAnsi="Verdana" w:cs="Arial"/>
                <w:b/>
                <w:bCs/>
                <w:color w:val="000000"/>
                <w:lang w:eastAsia="en-GB"/>
              </w:rPr>
              <w:t>20</w:t>
            </w:r>
          </w:p>
        </w:tc>
        <w:tc>
          <w:tcPr>
            <w:tcW w:w="1349" w:type="dxa"/>
            <w:tcBorders>
              <w:top w:val="single" w:sz="12" w:space="0" w:color="auto"/>
              <w:left w:val="nil"/>
              <w:bottom w:val="nil"/>
              <w:right w:val="single" w:sz="12" w:space="0" w:color="auto"/>
            </w:tcBorders>
            <w:shd w:val="thinDiagCross" w:color="000000" w:fill="FF0000"/>
            <w:noWrap/>
            <w:vAlign w:val="center"/>
            <w:hideMark/>
          </w:tcPr>
          <w:p w:rsidR="00B5477F" w:rsidRPr="00B5477F" w:rsidRDefault="00B5477F" w:rsidP="00B5477F">
            <w:pPr>
              <w:jc w:val="center"/>
              <w:rPr>
                <w:rFonts w:ascii="Verdana" w:hAnsi="Verdana" w:cs="Calibri"/>
                <w:b/>
                <w:bCs/>
                <w:color w:val="000000"/>
                <w:lang w:eastAsia="en-GB"/>
              </w:rPr>
            </w:pPr>
            <w:r w:rsidRPr="00B5477F">
              <w:rPr>
                <w:rFonts w:ascii="Verdana" w:hAnsi="Verdana" w:cs="Arial"/>
                <w:b/>
                <w:bCs/>
                <w:color w:val="000000"/>
                <w:lang w:eastAsia="en-GB"/>
              </w:rPr>
              <w:t>25</w:t>
            </w:r>
          </w:p>
        </w:tc>
      </w:tr>
      <w:tr w:rsidR="00B5477F" w:rsidRPr="00B5477F" w:rsidTr="00AC6D86">
        <w:trPr>
          <w:trHeight w:val="600"/>
        </w:trPr>
        <w:tc>
          <w:tcPr>
            <w:tcW w:w="1660" w:type="dxa"/>
            <w:tcBorders>
              <w:top w:val="nil"/>
              <w:left w:val="nil"/>
              <w:bottom w:val="nil"/>
              <w:right w:val="nil"/>
            </w:tcBorders>
            <w:shd w:val="clear" w:color="auto" w:fill="auto"/>
            <w:noWrap/>
            <w:vAlign w:val="center"/>
            <w:hideMark/>
          </w:tcPr>
          <w:p w:rsidR="00B5477F" w:rsidRPr="00B5477F" w:rsidRDefault="00B5477F" w:rsidP="00B5477F">
            <w:pPr>
              <w:jc w:val="center"/>
              <w:rPr>
                <w:rFonts w:ascii="Verdana" w:hAnsi="Verdana" w:cs="Calibri"/>
                <w:color w:val="000000"/>
                <w:sz w:val="20"/>
                <w:szCs w:val="20"/>
                <w:lang w:eastAsia="en-GB"/>
              </w:rPr>
            </w:pPr>
            <w:r w:rsidRPr="00B5477F">
              <w:rPr>
                <w:rFonts w:ascii="Verdana" w:hAnsi="Verdana" w:cs="Arial"/>
                <w:color w:val="000000"/>
                <w:sz w:val="20"/>
                <w:szCs w:val="20"/>
                <w:lang w:eastAsia="en-GB"/>
              </w:rPr>
              <w:t>Likely</w:t>
            </w:r>
          </w:p>
        </w:tc>
        <w:tc>
          <w:tcPr>
            <w:tcW w:w="1120" w:type="dxa"/>
            <w:tcBorders>
              <w:top w:val="nil"/>
              <w:left w:val="nil"/>
              <w:bottom w:val="nil"/>
              <w:right w:val="single" w:sz="12" w:space="0" w:color="auto"/>
            </w:tcBorders>
            <w:shd w:val="clear" w:color="auto" w:fill="auto"/>
            <w:noWrap/>
            <w:vAlign w:val="center"/>
            <w:hideMark/>
          </w:tcPr>
          <w:p w:rsidR="00B5477F" w:rsidRPr="00B5477F" w:rsidRDefault="00B5477F" w:rsidP="00B5477F">
            <w:pPr>
              <w:jc w:val="center"/>
              <w:rPr>
                <w:rFonts w:ascii="Verdana" w:hAnsi="Verdana" w:cs="Calibri"/>
                <w:color w:val="000000"/>
                <w:sz w:val="20"/>
                <w:szCs w:val="20"/>
                <w:lang w:eastAsia="en-GB"/>
              </w:rPr>
            </w:pPr>
            <w:r w:rsidRPr="00B5477F">
              <w:rPr>
                <w:rFonts w:ascii="Verdana" w:hAnsi="Verdana" w:cs="Arial"/>
                <w:color w:val="000000"/>
                <w:sz w:val="20"/>
                <w:szCs w:val="20"/>
                <w:lang w:eastAsia="en-GB"/>
              </w:rPr>
              <w:t>4</w:t>
            </w:r>
          </w:p>
        </w:tc>
        <w:tc>
          <w:tcPr>
            <w:tcW w:w="1340" w:type="dxa"/>
            <w:tcBorders>
              <w:top w:val="nil"/>
              <w:left w:val="nil"/>
              <w:bottom w:val="nil"/>
              <w:right w:val="nil"/>
            </w:tcBorders>
            <w:shd w:val="thinHorzStripe" w:color="000000" w:fill="00B050"/>
            <w:noWrap/>
            <w:vAlign w:val="center"/>
            <w:hideMark/>
          </w:tcPr>
          <w:p w:rsidR="00B5477F" w:rsidRPr="00B5477F" w:rsidRDefault="00B5477F" w:rsidP="00B5477F">
            <w:pPr>
              <w:jc w:val="center"/>
              <w:rPr>
                <w:rFonts w:ascii="Verdana" w:hAnsi="Verdana" w:cs="Calibri"/>
                <w:b/>
                <w:bCs/>
                <w:color w:val="000000"/>
                <w:lang w:eastAsia="en-GB"/>
              </w:rPr>
            </w:pPr>
            <w:r w:rsidRPr="00B5477F">
              <w:rPr>
                <w:rFonts w:ascii="Verdana" w:hAnsi="Verdana" w:cs="Arial"/>
                <w:b/>
                <w:bCs/>
                <w:color w:val="000000"/>
                <w:lang w:eastAsia="en-GB"/>
              </w:rPr>
              <w:t>4</w:t>
            </w:r>
          </w:p>
        </w:tc>
        <w:tc>
          <w:tcPr>
            <w:tcW w:w="1340" w:type="dxa"/>
            <w:tcBorders>
              <w:top w:val="nil"/>
              <w:left w:val="nil"/>
              <w:bottom w:val="nil"/>
              <w:right w:val="nil"/>
            </w:tcBorders>
            <w:shd w:val="thinVertStripe" w:color="000000" w:fill="FFC000"/>
            <w:noWrap/>
            <w:vAlign w:val="center"/>
            <w:hideMark/>
          </w:tcPr>
          <w:p w:rsidR="00B5477F" w:rsidRPr="00B5477F" w:rsidRDefault="00B5477F" w:rsidP="00B5477F">
            <w:pPr>
              <w:jc w:val="center"/>
              <w:rPr>
                <w:rFonts w:ascii="Verdana" w:hAnsi="Verdana" w:cs="Calibri"/>
                <w:b/>
                <w:bCs/>
                <w:color w:val="000000"/>
                <w:lang w:eastAsia="en-GB"/>
              </w:rPr>
            </w:pPr>
            <w:r w:rsidRPr="00B5477F">
              <w:rPr>
                <w:rFonts w:ascii="Verdana" w:hAnsi="Verdana" w:cs="Arial"/>
                <w:b/>
                <w:bCs/>
                <w:color w:val="000000"/>
                <w:lang w:eastAsia="en-GB"/>
              </w:rPr>
              <w:t>8</w:t>
            </w:r>
          </w:p>
        </w:tc>
        <w:tc>
          <w:tcPr>
            <w:tcW w:w="1340" w:type="dxa"/>
            <w:tcBorders>
              <w:top w:val="nil"/>
              <w:left w:val="nil"/>
              <w:bottom w:val="nil"/>
              <w:right w:val="nil"/>
            </w:tcBorders>
            <w:shd w:val="thinVertStripe" w:color="000000" w:fill="FFC000"/>
            <w:noWrap/>
            <w:vAlign w:val="center"/>
            <w:hideMark/>
          </w:tcPr>
          <w:p w:rsidR="00B5477F" w:rsidRPr="00B5477F" w:rsidRDefault="00B5477F" w:rsidP="00B5477F">
            <w:pPr>
              <w:jc w:val="center"/>
              <w:rPr>
                <w:rFonts w:ascii="Verdana" w:hAnsi="Verdana" w:cs="Calibri"/>
                <w:b/>
                <w:bCs/>
                <w:color w:val="000000"/>
                <w:lang w:eastAsia="en-GB"/>
              </w:rPr>
            </w:pPr>
            <w:r w:rsidRPr="00B5477F">
              <w:rPr>
                <w:rFonts w:ascii="Verdana" w:hAnsi="Verdana" w:cs="Arial"/>
                <w:b/>
                <w:bCs/>
                <w:color w:val="000000"/>
                <w:lang w:eastAsia="en-GB"/>
              </w:rPr>
              <w:t>12</w:t>
            </w:r>
          </w:p>
        </w:tc>
        <w:tc>
          <w:tcPr>
            <w:tcW w:w="1340" w:type="dxa"/>
            <w:tcBorders>
              <w:top w:val="nil"/>
              <w:left w:val="nil"/>
              <w:bottom w:val="nil"/>
              <w:right w:val="nil"/>
            </w:tcBorders>
            <w:shd w:val="thinDiagCross" w:color="000000" w:fill="FF0000"/>
            <w:noWrap/>
            <w:vAlign w:val="center"/>
            <w:hideMark/>
          </w:tcPr>
          <w:p w:rsidR="00B5477F" w:rsidRPr="00B5477F" w:rsidRDefault="00B5477F" w:rsidP="00B5477F">
            <w:pPr>
              <w:jc w:val="center"/>
              <w:rPr>
                <w:rFonts w:ascii="Verdana" w:hAnsi="Verdana" w:cs="Calibri"/>
                <w:b/>
                <w:bCs/>
                <w:color w:val="000000"/>
                <w:lang w:eastAsia="en-GB"/>
              </w:rPr>
            </w:pPr>
            <w:r w:rsidRPr="00B5477F">
              <w:rPr>
                <w:rFonts w:ascii="Verdana" w:hAnsi="Verdana" w:cs="Arial"/>
                <w:b/>
                <w:bCs/>
                <w:color w:val="000000"/>
                <w:lang w:eastAsia="en-GB"/>
              </w:rPr>
              <w:t>16</w:t>
            </w:r>
          </w:p>
        </w:tc>
        <w:tc>
          <w:tcPr>
            <w:tcW w:w="1349" w:type="dxa"/>
            <w:tcBorders>
              <w:top w:val="nil"/>
              <w:left w:val="nil"/>
              <w:bottom w:val="nil"/>
              <w:right w:val="single" w:sz="12" w:space="0" w:color="auto"/>
            </w:tcBorders>
            <w:shd w:val="thinDiagCross" w:color="000000" w:fill="FF0000"/>
            <w:noWrap/>
            <w:vAlign w:val="center"/>
            <w:hideMark/>
          </w:tcPr>
          <w:p w:rsidR="00B5477F" w:rsidRPr="00B5477F" w:rsidRDefault="00B5477F" w:rsidP="00B5477F">
            <w:pPr>
              <w:jc w:val="center"/>
              <w:rPr>
                <w:rFonts w:ascii="Verdana" w:hAnsi="Verdana" w:cs="Calibri"/>
                <w:b/>
                <w:bCs/>
                <w:color w:val="000000"/>
                <w:lang w:eastAsia="en-GB"/>
              </w:rPr>
            </w:pPr>
            <w:r w:rsidRPr="00B5477F">
              <w:rPr>
                <w:rFonts w:ascii="Verdana" w:hAnsi="Verdana" w:cs="Arial"/>
                <w:b/>
                <w:bCs/>
                <w:color w:val="000000"/>
                <w:lang w:eastAsia="en-GB"/>
              </w:rPr>
              <w:t>20</w:t>
            </w:r>
          </w:p>
        </w:tc>
      </w:tr>
      <w:tr w:rsidR="00B5477F" w:rsidRPr="00B5477F" w:rsidTr="00AC6D86">
        <w:trPr>
          <w:trHeight w:val="600"/>
        </w:trPr>
        <w:tc>
          <w:tcPr>
            <w:tcW w:w="1660" w:type="dxa"/>
            <w:tcBorders>
              <w:top w:val="nil"/>
              <w:left w:val="nil"/>
              <w:bottom w:val="nil"/>
              <w:right w:val="nil"/>
            </w:tcBorders>
            <w:shd w:val="clear" w:color="auto" w:fill="auto"/>
            <w:noWrap/>
            <w:vAlign w:val="center"/>
            <w:hideMark/>
          </w:tcPr>
          <w:p w:rsidR="00B5477F" w:rsidRPr="00B5477F" w:rsidRDefault="00B5477F" w:rsidP="00B5477F">
            <w:pPr>
              <w:jc w:val="center"/>
              <w:rPr>
                <w:rFonts w:ascii="Verdana" w:hAnsi="Verdana" w:cs="Calibri"/>
                <w:color w:val="000000"/>
                <w:sz w:val="20"/>
                <w:szCs w:val="20"/>
                <w:lang w:eastAsia="en-GB"/>
              </w:rPr>
            </w:pPr>
            <w:r w:rsidRPr="00B5477F">
              <w:rPr>
                <w:rFonts w:ascii="Verdana" w:hAnsi="Verdana" w:cs="Arial"/>
                <w:color w:val="000000"/>
                <w:sz w:val="20"/>
                <w:szCs w:val="20"/>
                <w:lang w:eastAsia="en-GB"/>
              </w:rPr>
              <w:t>Possible</w:t>
            </w:r>
          </w:p>
        </w:tc>
        <w:tc>
          <w:tcPr>
            <w:tcW w:w="1120" w:type="dxa"/>
            <w:tcBorders>
              <w:top w:val="nil"/>
              <w:left w:val="nil"/>
              <w:bottom w:val="nil"/>
              <w:right w:val="single" w:sz="12" w:space="0" w:color="auto"/>
            </w:tcBorders>
            <w:shd w:val="clear" w:color="auto" w:fill="auto"/>
            <w:noWrap/>
            <w:vAlign w:val="center"/>
            <w:hideMark/>
          </w:tcPr>
          <w:p w:rsidR="00B5477F" w:rsidRPr="00B5477F" w:rsidRDefault="00B5477F" w:rsidP="00B5477F">
            <w:pPr>
              <w:jc w:val="center"/>
              <w:rPr>
                <w:rFonts w:ascii="Verdana" w:hAnsi="Verdana" w:cs="Calibri"/>
                <w:color w:val="000000"/>
                <w:sz w:val="20"/>
                <w:szCs w:val="20"/>
                <w:lang w:eastAsia="en-GB"/>
              </w:rPr>
            </w:pPr>
            <w:r w:rsidRPr="00B5477F">
              <w:rPr>
                <w:rFonts w:ascii="Verdana" w:hAnsi="Verdana" w:cs="Arial"/>
                <w:color w:val="000000"/>
                <w:sz w:val="20"/>
                <w:szCs w:val="20"/>
                <w:lang w:eastAsia="en-GB"/>
              </w:rPr>
              <w:t>3</w:t>
            </w:r>
          </w:p>
        </w:tc>
        <w:tc>
          <w:tcPr>
            <w:tcW w:w="1340" w:type="dxa"/>
            <w:tcBorders>
              <w:top w:val="nil"/>
              <w:left w:val="nil"/>
              <w:bottom w:val="nil"/>
              <w:right w:val="nil"/>
            </w:tcBorders>
            <w:shd w:val="thinHorzStripe" w:color="000000" w:fill="00B050"/>
            <w:noWrap/>
            <w:vAlign w:val="center"/>
            <w:hideMark/>
          </w:tcPr>
          <w:p w:rsidR="00B5477F" w:rsidRPr="00B5477F" w:rsidRDefault="00B5477F" w:rsidP="00B5477F">
            <w:pPr>
              <w:jc w:val="center"/>
              <w:rPr>
                <w:rFonts w:ascii="Verdana" w:hAnsi="Verdana" w:cs="Calibri"/>
                <w:b/>
                <w:bCs/>
                <w:color w:val="000000"/>
                <w:lang w:eastAsia="en-GB"/>
              </w:rPr>
            </w:pPr>
            <w:r w:rsidRPr="00B5477F">
              <w:rPr>
                <w:rFonts w:ascii="Verdana" w:hAnsi="Verdana" w:cs="Arial"/>
                <w:b/>
                <w:bCs/>
                <w:color w:val="000000"/>
                <w:lang w:eastAsia="en-GB"/>
              </w:rPr>
              <w:t>3</w:t>
            </w:r>
          </w:p>
        </w:tc>
        <w:tc>
          <w:tcPr>
            <w:tcW w:w="1340" w:type="dxa"/>
            <w:tcBorders>
              <w:top w:val="nil"/>
              <w:left w:val="nil"/>
              <w:bottom w:val="nil"/>
              <w:right w:val="nil"/>
            </w:tcBorders>
            <w:shd w:val="thinHorzStripe" w:color="000000" w:fill="00B050"/>
            <w:noWrap/>
            <w:vAlign w:val="center"/>
            <w:hideMark/>
          </w:tcPr>
          <w:p w:rsidR="00B5477F" w:rsidRPr="00B5477F" w:rsidRDefault="00B5477F" w:rsidP="00B5477F">
            <w:pPr>
              <w:jc w:val="center"/>
              <w:rPr>
                <w:rFonts w:ascii="Verdana" w:hAnsi="Verdana" w:cs="Calibri"/>
                <w:b/>
                <w:bCs/>
                <w:color w:val="000000"/>
                <w:lang w:eastAsia="en-GB"/>
              </w:rPr>
            </w:pPr>
            <w:r w:rsidRPr="00B5477F">
              <w:rPr>
                <w:rFonts w:ascii="Verdana" w:hAnsi="Verdana" w:cs="Arial"/>
                <w:b/>
                <w:bCs/>
                <w:color w:val="000000"/>
                <w:lang w:eastAsia="en-GB"/>
              </w:rPr>
              <w:t>6</w:t>
            </w:r>
          </w:p>
        </w:tc>
        <w:tc>
          <w:tcPr>
            <w:tcW w:w="1340" w:type="dxa"/>
            <w:tcBorders>
              <w:top w:val="nil"/>
              <w:left w:val="nil"/>
              <w:bottom w:val="nil"/>
              <w:right w:val="nil"/>
            </w:tcBorders>
            <w:shd w:val="thinVertStripe" w:color="000000" w:fill="FFC000"/>
            <w:noWrap/>
            <w:vAlign w:val="center"/>
            <w:hideMark/>
          </w:tcPr>
          <w:p w:rsidR="00B5477F" w:rsidRPr="00B5477F" w:rsidRDefault="00B5477F" w:rsidP="00B5477F">
            <w:pPr>
              <w:jc w:val="center"/>
              <w:rPr>
                <w:rFonts w:ascii="Verdana" w:hAnsi="Verdana" w:cs="Calibri"/>
                <w:b/>
                <w:bCs/>
                <w:color w:val="000000"/>
                <w:lang w:eastAsia="en-GB"/>
              </w:rPr>
            </w:pPr>
            <w:r w:rsidRPr="00B5477F">
              <w:rPr>
                <w:rFonts w:ascii="Verdana" w:hAnsi="Verdana" w:cs="Arial"/>
                <w:b/>
                <w:bCs/>
                <w:color w:val="000000"/>
                <w:lang w:eastAsia="en-GB"/>
              </w:rPr>
              <w:t>9</w:t>
            </w:r>
          </w:p>
        </w:tc>
        <w:tc>
          <w:tcPr>
            <w:tcW w:w="1340" w:type="dxa"/>
            <w:tcBorders>
              <w:top w:val="nil"/>
              <w:left w:val="nil"/>
              <w:bottom w:val="nil"/>
              <w:right w:val="nil"/>
            </w:tcBorders>
            <w:shd w:val="thinDiagCross" w:color="000000" w:fill="FF0000"/>
            <w:noWrap/>
            <w:vAlign w:val="center"/>
            <w:hideMark/>
          </w:tcPr>
          <w:p w:rsidR="00B5477F" w:rsidRPr="00B5477F" w:rsidRDefault="00B5477F" w:rsidP="00B5477F">
            <w:pPr>
              <w:jc w:val="center"/>
              <w:rPr>
                <w:rFonts w:ascii="Verdana" w:hAnsi="Verdana" w:cs="Calibri"/>
                <w:b/>
                <w:bCs/>
                <w:color w:val="000000"/>
                <w:lang w:eastAsia="en-GB"/>
              </w:rPr>
            </w:pPr>
            <w:r w:rsidRPr="00B5477F">
              <w:rPr>
                <w:rFonts w:ascii="Verdana" w:hAnsi="Verdana" w:cs="Arial"/>
                <w:b/>
                <w:bCs/>
                <w:color w:val="000000"/>
                <w:lang w:eastAsia="en-GB"/>
              </w:rPr>
              <w:t>12</w:t>
            </w:r>
          </w:p>
        </w:tc>
        <w:tc>
          <w:tcPr>
            <w:tcW w:w="1349" w:type="dxa"/>
            <w:tcBorders>
              <w:top w:val="nil"/>
              <w:left w:val="nil"/>
              <w:bottom w:val="nil"/>
              <w:right w:val="single" w:sz="12" w:space="0" w:color="auto"/>
            </w:tcBorders>
            <w:shd w:val="thinDiagCross" w:color="000000" w:fill="FF0000"/>
            <w:noWrap/>
            <w:vAlign w:val="center"/>
            <w:hideMark/>
          </w:tcPr>
          <w:p w:rsidR="00B5477F" w:rsidRPr="00B5477F" w:rsidRDefault="00B5477F" w:rsidP="00B5477F">
            <w:pPr>
              <w:jc w:val="center"/>
              <w:rPr>
                <w:rFonts w:ascii="Verdana" w:hAnsi="Verdana" w:cs="Calibri"/>
                <w:b/>
                <w:bCs/>
                <w:color w:val="000000"/>
                <w:lang w:eastAsia="en-GB"/>
              </w:rPr>
            </w:pPr>
            <w:r w:rsidRPr="00B5477F">
              <w:rPr>
                <w:rFonts w:ascii="Verdana" w:hAnsi="Verdana" w:cs="Arial"/>
                <w:b/>
                <w:bCs/>
                <w:color w:val="000000"/>
                <w:lang w:eastAsia="en-GB"/>
              </w:rPr>
              <w:t>15</w:t>
            </w:r>
          </w:p>
        </w:tc>
      </w:tr>
      <w:tr w:rsidR="00B5477F" w:rsidRPr="00B5477F" w:rsidTr="00AC6D86">
        <w:trPr>
          <w:trHeight w:val="600"/>
        </w:trPr>
        <w:tc>
          <w:tcPr>
            <w:tcW w:w="1660" w:type="dxa"/>
            <w:tcBorders>
              <w:top w:val="nil"/>
              <w:left w:val="nil"/>
              <w:bottom w:val="nil"/>
              <w:right w:val="nil"/>
            </w:tcBorders>
            <w:shd w:val="clear" w:color="auto" w:fill="auto"/>
            <w:noWrap/>
            <w:vAlign w:val="center"/>
            <w:hideMark/>
          </w:tcPr>
          <w:p w:rsidR="00B5477F" w:rsidRPr="00B5477F" w:rsidRDefault="00B5477F" w:rsidP="00B5477F">
            <w:pPr>
              <w:jc w:val="center"/>
              <w:rPr>
                <w:rFonts w:ascii="Verdana" w:hAnsi="Verdana" w:cs="Calibri"/>
                <w:color w:val="000000"/>
                <w:sz w:val="20"/>
                <w:szCs w:val="20"/>
                <w:lang w:eastAsia="en-GB"/>
              </w:rPr>
            </w:pPr>
            <w:r w:rsidRPr="00B5477F">
              <w:rPr>
                <w:rFonts w:ascii="Verdana" w:hAnsi="Verdana" w:cs="Arial"/>
                <w:color w:val="000000"/>
                <w:sz w:val="20"/>
                <w:szCs w:val="20"/>
                <w:lang w:eastAsia="en-GB"/>
              </w:rPr>
              <w:t>Unlikely</w:t>
            </w:r>
          </w:p>
        </w:tc>
        <w:tc>
          <w:tcPr>
            <w:tcW w:w="1120" w:type="dxa"/>
            <w:tcBorders>
              <w:top w:val="nil"/>
              <w:left w:val="nil"/>
              <w:bottom w:val="nil"/>
              <w:right w:val="single" w:sz="12" w:space="0" w:color="auto"/>
            </w:tcBorders>
            <w:shd w:val="clear" w:color="auto" w:fill="auto"/>
            <w:noWrap/>
            <w:vAlign w:val="center"/>
            <w:hideMark/>
          </w:tcPr>
          <w:p w:rsidR="00B5477F" w:rsidRPr="00B5477F" w:rsidRDefault="00B5477F" w:rsidP="00B5477F">
            <w:pPr>
              <w:jc w:val="center"/>
              <w:rPr>
                <w:rFonts w:ascii="Verdana" w:hAnsi="Verdana" w:cs="Calibri"/>
                <w:color w:val="000000"/>
                <w:sz w:val="20"/>
                <w:szCs w:val="20"/>
                <w:lang w:eastAsia="en-GB"/>
              </w:rPr>
            </w:pPr>
            <w:r w:rsidRPr="00B5477F">
              <w:rPr>
                <w:rFonts w:ascii="Verdana" w:hAnsi="Verdana" w:cs="Arial"/>
                <w:color w:val="000000"/>
                <w:sz w:val="20"/>
                <w:szCs w:val="20"/>
                <w:lang w:eastAsia="en-GB"/>
              </w:rPr>
              <w:t>2</w:t>
            </w:r>
          </w:p>
        </w:tc>
        <w:tc>
          <w:tcPr>
            <w:tcW w:w="1340" w:type="dxa"/>
            <w:tcBorders>
              <w:top w:val="nil"/>
              <w:left w:val="nil"/>
              <w:bottom w:val="nil"/>
              <w:right w:val="nil"/>
            </w:tcBorders>
            <w:shd w:val="thinHorzStripe" w:color="000000" w:fill="00B050"/>
            <w:noWrap/>
            <w:vAlign w:val="center"/>
            <w:hideMark/>
          </w:tcPr>
          <w:p w:rsidR="00B5477F" w:rsidRPr="00B5477F" w:rsidRDefault="00B5477F" w:rsidP="00B5477F">
            <w:pPr>
              <w:jc w:val="center"/>
              <w:rPr>
                <w:rFonts w:ascii="Verdana" w:hAnsi="Verdana" w:cs="Calibri"/>
                <w:b/>
                <w:bCs/>
                <w:color w:val="000000"/>
                <w:lang w:eastAsia="en-GB"/>
              </w:rPr>
            </w:pPr>
            <w:r w:rsidRPr="00B5477F">
              <w:rPr>
                <w:rFonts w:ascii="Verdana" w:hAnsi="Verdana" w:cs="Arial"/>
                <w:b/>
                <w:bCs/>
                <w:color w:val="000000"/>
                <w:lang w:eastAsia="en-GB"/>
              </w:rPr>
              <w:t>2</w:t>
            </w:r>
          </w:p>
        </w:tc>
        <w:tc>
          <w:tcPr>
            <w:tcW w:w="1340" w:type="dxa"/>
            <w:tcBorders>
              <w:top w:val="nil"/>
              <w:left w:val="nil"/>
              <w:bottom w:val="nil"/>
              <w:right w:val="nil"/>
            </w:tcBorders>
            <w:shd w:val="thinHorzStripe" w:color="000000" w:fill="00B050"/>
            <w:noWrap/>
            <w:vAlign w:val="center"/>
            <w:hideMark/>
          </w:tcPr>
          <w:p w:rsidR="00B5477F" w:rsidRPr="00B5477F" w:rsidRDefault="00B5477F" w:rsidP="00B5477F">
            <w:pPr>
              <w:jc w:val="center"/>
              <w:rPr>
                <w:rFonts w:ascii="Verdana" w:hAnsi="Verdana" w:cs="Calibri"/>
                <w:b/>
                <w:bCs/>
                <w:color w:val="000000"/>
                <w:lang w:eastAsia="en-GB"/>
              </w:rPr>
            </w:pPr>
            <w:r w:rsidRPr="00B5477F">
              <w:rPr>
                <w:rFonts w:ascii="Verdana" w:hAnsi="Verdana" w:cs="Arial"/>
                <w:b/>
                <w:bCs/>
                <w:color w:val="000000"/>
                <w:lang w:eastAsia="en-GB"/>
              </w:rPr>
              <w:t>4</w:t>
            </w:r>
          </w:p>
        </w:tc>
        <w:tc>
          <w:tcPr>
            <w:tcW w:w="1340" w:type="dxa"/>
            <w:tcBorders>
              <w:top w:val="nil"/>
              <w:left w:val="nil"/>
              <w:bottom w:val="nil"/>
              <w:right w:val="nil"/>
            </w:tcBorders>
            <w:shd w:val="thinHorzStripe" w:color="000000" w:fill="00B050"/>
            <w:noWrap/>
            <w:vAlign w:val="center"/>
            <w:hideMark/>
          </w:tcPr>
          <w:p w:rsidR="00B5477F" w:rsidRPr="00B5477F" w:rsidRDefault="00B5477F" w:rsidP="00B5477F">
            <w:pPr>
              <w:jc w:val="center"/>
              <w:rPr>
                <w:rFonts w:ascii="Verdana" w:hAnsi="Verdana" w:cs="Calibri"/>
                <w:b/>
                <w:bCs/>
                <w:color w:val="000000"/>
                <w:lang w:eastAsia="en-GB"/>
              </w:rPr>
            </w:pPr>
            <w:r w:rsidRPr="00B5477F">
              <w:rPr>
                <w:rFonts w:ascii="Verdana" w:hAnsi="Verdana" w:cs="Arial"/>
                <w:b/>
                <w:bCs/>
                <w:color w:val="000000"/>
                <w:lang w:eastAsia="en-GB"/>
              </w:rPr>
              <w:t>6</w:t>
            </w:r>
          </w:p>
        </w:tc>
        <w:tc>
          <w:tcPr>
            <w:tcW w:w="1340" w:type="dxa"/>
            <w:tcBorders>
              <w:top w:val="nil"/>
              <w:left w:val="nil"/>
              <w:bottom w:val="nil"/>
              <w:right w:val="nil"/>
            </w:tcBorders>
            <w:shd w:val="thinVertStripe" w:color="000000" w:fill="FFC000"/>
            <w:noWrap/>
            <w:vAlign w:val="center"/>
            <w:hideMark/>
          </w:tcPr>
          <w:p w:rsidR="00B5477F" w:rsidRPr="00B5477F" w:rsidRDefault="00B5477F" w:rsidP="00B5477F">
            <w:pPr>
              <w:jc w:val="center"/>
              <w:rPr>
                <w:rFonts w:ascii="Verdana" w:hAnsi="Verdana" w:cs="Calibri"/>
                <w:b/>
                <w:bCs/>
                <w:color w:val="000000"/>
                <w:lang w:eastAsia="en-GB"/>
              </w:rPr>
            </w:pPr>
            <w:r w:rsidRPr="00B5477F">
              <w:rPr>
                <w:rFonts w:ascii="Verdana" w:hAnsi="Verdana" w:cs="Arial"/>
                <w:b/>
                <w:bCs/>
                <w:color w:val="000000"/>
                <w:lang w:eastAsia="en-GB"/>
              </w:rPr>
              <w:t>8</w:t>
            </w:r>
          </w:p>
        </w:tc>
        <w:tc>
          <w:tcPr>
            <w:tcW w:w="1349" w:type="dxa"/>
            <w:tcBorders>
              <w:top w:val="nil"/>
              <w:left w:val="nil"/>
              <w:bottom w:val="nil"/>
              <w:right w:val="single" w:sz="12" w:space="0" w:color="auto"/>
            </w:tcBorders>
            <w:shd w:val="thinVertStripe" w:color="000000" w:fill="FFC000"/>
            <w:noWrap/>
            <w:vAlign w:val="center"/>
            <w:hideMark/>
          </w:tcPr>
          <w:p w:rsidR="00B5477F" w:rsidRPr="00B5477F" w:rsidRDefault="00B5477F" w:rsidP="00B5477F">
            <w:pPr>
              <w:jc w:val="center"/>
              <w:rPr>
                <w:rFonts w:ascii="Verdana" w:hAnsi="Verdana" w:cs="Calibri"/>
                <w:b/>
                <w:bCs/>
                <w:color w:val="000000"/>
                <w:lang w:eastAsia="en-GB"/>
              </w:rPr>
            </w:pPr>
            <w:r w:rsidRPr="00B5477F">
              <w:rPr>
                <w:rFonts w:ascii="Verdana" w:hAnsi="Verdana" w:cs="Arial"/>
                <w:b/>
                <w:bCs/>
                <w:color w:val="000000"/>
                <w:lang w:eastAsia="en-GB"/>
              </w:rPr>
              <w:t>10</w:t>
            </w:r>
          </w:p>
        </w:tc>
      </w:tr>
      <w:tr w:rsidR="00B5477F" w:rsidRPr="00B5477F" w:rsidTr="00AC6D86">
        <w:trPr>
          <w:trHeight w:val="600"/>
        </w:trPr>
        <w:tc>
          <w:tcPr>
            <w:tcW w:w="1660" w:type="dxa"/>
            <w:tcBorders>
              <w:top w:val="nil"/>
              <w:left w:val="nil"/>
              <w:bottom w:val="nil"/>
              <w:right w:val="nil"/>
            </w:tcBorders>
            <w:shd w:val="clear" w:color="auto" w:fill="auto"/>
            <w:noWrap/>
            <w:vAlign w:val="center"/>
            <w:hideMark/>
          </w:tcPr>
          <w:p w:rsidR="00B5477F" w:rsidRPr="00B5477F" w:rsidRDefault="00B5477F" w:rsidP="00B5477F">
            <w:pPr>
              <w:jc w:val="center"/>
              <w:rPr>
                <w:rFonts w:ascii="Verdana" w:hAnsi="Verdana" w:cs="Calibri"/>
                <w:color w:val="000000"/>
                <w:sz w:val="20"/>
                <w:szCs w:val="20"/>
                <w:lang w:eastAsia="en-GB"/>
              </w:rPr>
            </w:pPr>
            <w:r w:rsidRPr="00B5477F">
              <w:rPr>
                <w:rFonts w:ascii="Verdana" w:hAnsi="Verdana" w:cs="Arial"/>
                <w:color w:val="000000"/>
                <w:sz w:val="20"/>
                <w:szCs w:val="20"/>
                <w:lang w:eastAsia="en-GB"/>
              </w:rPr>
              <w:t>Rare</w:t>
            </w:r>
          </w:p>
        </w:tc>
        <w:tc>
          <w:tcPr>
            <w:tcW w:w="1120" w:type="dxa"/>
            <w:tcBorders>
              <w:top w:val="nil"/>
              <w:left w:val="nil"/>
              <w:bottom w:val="nil"/>
              <w:right w:val="single" w:sz="12" w:space="0" w:color="auto"/>
            </w:tcBorders>
            <w:shd w:val="clear" w:color="auto" w:fill="auto"/>
            <w:noWrap/>
            <w:vAlign w:val="center"/>
            <w:hideMark/>
          </w:tcPr>
          <w:p w:rsidR="00B5477F" w:rsidRPr="00B5477F" w:rsidRDefault="00B5477F" w:rsidP="00B5477F">
            <w:pPr>
              <w:jc w:val="center"/>
              <w:rPr>
                <w:rFonts w:ascii="Verdana" w:hAnsi="Verdana" w:cs="Calibri"/>
                <w:color w:val="000000"/>
                <w:sz w:val="20"/>
                <w:szCs w:val="20"/>
                <w:lang w:eastAsia="en-GB"/>
              </w:rPr>
            </w:pPr>
            <w:r w:rsidRPr="00B5477F">
              <w:rPr>
                <w:rFonts w:ascii="Verdana" w:hAnsi="Verdana" w:cs="Arial"/>
                <w:color w:val="000000"/>
                <w:sz w:val="20"/>
                <w:szCs w:val="20"/>
                <w:lang w:eastAsia="en-GB"/>
              </w:rPr>
              <w:t>1</w:t>
            </w:r>
          </w:p>
        </w:tc>
        <w:tc>
          <w:tcPr>
            <w:tcW w:w="1340" w:type="dxa"/>
            <w:tcBorders>
              <w:top w:val="nil"/>
              <w:left w:val="nil"/>
              <w:bottom w:val="single" w:sz="12" w:space="0" w:color="auto"/>
              <w:right w:val="nil"/>
            </w:tcBorders>
            <w:shd w:val="thinHorzStripe" w:color="000000" w:fill="00B050"/>
            <w:noWrap/>
            <w:vAlign w:val="center"/>
            <w:hideMark/>
          </w:tcPr>
          <w:p w:rsidR="00B5477F" w:rsidRPr="00B5477F" w:rsidRDefault="00B5477F" w:rsidP="00B5477F">
            <w:pPr>
              <w:jc w:val="center"/>
              <w:rPr>
                <w:rFonts w:ascii="Verdana" w:hAnsi="Verdana" w:cs="Calibri"/>
                <w:b/>
                <w:bCs/>
                <w:color w:val="000000"/>
                <w:lang w:eastAsia="en-GB"/>
              </w:rPr>
            </w:pPr>
            <w:r w:rsidRPr="00B5477F">
              <w:rPr>
                <w:rFonts w:ascii="Verdana" w:hAnsi="Verdana" w:cs="Arial"/>
                <w:b/>
                <w:bCs/>
                <w:color w:val="000000"/>
                <w:lang w:eastAsia="en-GB"/>
              </w:rPr>
              <w:t>1</w:t>
            </w:r>
          </w:p>
        </w:tc>
        <w:tc>
          <w:tcPr>
            <w:tcW w:w="1340" w:type="dxa"/>
            <w:tcBorders>
              <w:top w:val="nil"/>
              <w:left w:val="nil"/>
              <w:bottom w:val="single" w:sz="12" w:space="0" w:color="auto"/>
              <w:right w:val="nil"/>
            </w:tcBorders>
            <w:shd w:val="thinHorzStripe" w:color="000000" w:fill="00B050"/>
            <w:noWrap/>
            <w:vAlign w:val="center"/>
            <w:hideMark/>
          </w:tcPr>
          <w:p w:rsidR="00B5477F" w:rsidRPr="00B5477F" w:rsidRDefault="00B5477F" w:rsidP="00B5477F">
            <w:pPr>
              <w:jc w:val="center"/>
              <w:rPr>
                <w:rFonts w:ascii="Verdana" w:hAnsi="Verdana" w:cs="Calibri"/>
                <w:b/>
                <w:bCs/>
                <w:color w:val="000000"/>
                <w:lang w:eastAsia="en-GB"/>
              </w:rPr>
            </w:pPr>
            <w:r w:rsidRPr="00B5477F">
              <w:rPr>
                <w:rFonts w:ascii="Verdana" w:hAnsi="Verdana" w:cs="Arial"/>
                <w:b/>
                <w:bCs/>
                <w:color w:val="000000"/>
                <w:lang w:eastAsia="en-GB"/>
              </w:rPr>
              <w:t>2</w:t>
            </w:r>
          </w:p>
        </w:tc>
        <w:tc>
          <w:tcPr>
            <w:tcW w:w="1340" w:type="dxa"/>
            <w:tcBorders>
              <w:top w:val="nil"/>
              <w:left w:val="nil"/>
              <w:bottom w:val="single" w:sz="12" w:space="0" w:color="auto"/>
              <w:right w:val="nil"/>
            </w:tcBorders>
            <w:shd w:val="thinHorzStripe" w:color="000000" w:fill="00B050"/>
            <w:noWrap/>
            <w:vAlign w:val="center"/>
            <w:hideMark/>
          </w:tcPr>
          <w:p w:rsidR="00B5477F" w:rsidRPr="00B5477F" w:rsidRDefault="00B5477F" w:rsidP="00B5477F">
            <w:pPr>
              <w:jc w:val="center"/>
              <w:rPr>
                <w:rFonts w:ascii="Verdana" w:hAnsi="Verdana" w:cs="Calibri"/>
                <w:b/>
                <w:bCs/>
                <w:color w:val="000000"/>
                <w:lang w:eastAsia="en-GB"/>
              </w:rPr>
            </w:pPr>
            <w:r w:rsidRPr="00B5477F">
              <w:rPr>
                <w:rFonts w:ascii="Verdana" w:hAnsi="Verdana" w:cs="Arial"/>
                <w:b/>
                <w:bCs/>
                <w:color w:val="000000"/>
                <w:lang w:eastAsia="en-GB"/>
              </w:rPr>
              <w:t>3</w:t>
            </w:r>
          </w:p>
        </w:tc>
        <w:tc>
          <w:tcPr>
            <w:tcW w:w="1340" w:type="dxa"/>
            <w:tcBorders>
              <w:top w:val="nil"/>
              <w:left w:val="nil"/>
              <w:bottom w:val="single" w:sz="12" w:space="0" w:color="auto"/>
              <w:right w:val="nil"/>
            </w:tcBorders>
            <w:shd w:val="thinHorzStripe" w:color="000000" w:fill="00B050"/>
            <w:noWrap/>
            <w:vAlign w:val="center"/>
            <w:hideMark/>
          </w:tcPr>
          <w:p w:rsidR="00B5477F" w:rsidRPr="00B5477F" w:rsidRDefault="00B5477F" w:rsidP="00B5477F">
            <w:pPr>
              <w:jc w:val="center"/>
              <w:rPr>
                <w:rFonts w:ascii="Verdana" w:hAnsi="Verdana" w:cs="Calibri"/>
                <w:b/>
                <w:bCs/>
                <w:color w:val="000000"/>
                <w:lang w:eastAsia="en-GB"/>
              </w:rPr>
            </w:pPr>
            <w:r w:rsidRPr="00B5477F">
              <w:rPr>
                <w:rFonts w:ascii="Verdana" w:hAnsi="Verdana" w:cs="Arial"/>
                <w:b/>
                <w:bCs/>
                <w:color w:val="000000"/>
                <w:lang w:eastAsia="en-GB"/>
              </w:rPr>
              <w:t>4</w:t>
            </w:r>
          </w:p>
        </w:tc>
        <w:tc>
          <w:tcPr>
            <w:tcW w:w="1349" w:type="dxa"/>
            <w:tcBorders>
              <w:top w:val="nil"/>
              <w:left w:val="nil"/>
              <w:bottom w:val="single" w:sz="12" w:space="0" w:color="auto"/>
              <w:right w:val="single" w:sz="12" w:space="0" w:color="auto"/>
            </w:tcBorders>
            <w:shd w:val="thinVertStripe" w:color="000000" w:fill="FFC000"/>
            <w:noWrap/>
            <w:vAlign w:val="center"/>
            <w:hideMark/>
          </w:tcPr>
          <w:p w:rsidR="00B5477F" w:rsidRPr="00B5477F" w:rsidRDefault="00B5477F" w:rsidP="00B5477F">
            <w:pPr>
              <w:jc w:val="center"/>
              <w:rPr>
                <w:rFonts w:ascii="Verdana" w:hAnsi="Verdana" w:cs="Calibri"/>
                <w:b/>
                <w:bCs/>
                <w:color w:val="000000"/>
                <w:lang w:eastAsia="en-GB"/>
              </w:rPr>
            </w:pPr>
            <w:r w:rsidRPr="00B5477F">
              <w:rPr>
                <w:rFonts w:ascii="Verdana" w:hAnsi="Verdana" w:cs="Arial"/>
                <w:b/>
                <w:bCs/>
                <w:color w:val="000000"/>
                <w:lang w:eastAsia="en-GB"/>
              </w:rPr>
              <w:t>5</w:t>
            </w:r>
          </w:p>
        </w:tc>
      </w:tr>
      <w:tr w:rsidR="00B5477F" w:rsidRPr="00B5477F" w:rsidTr="00AC6D86">
        <w:trPr>
          <w:trHeight w:val="315"/>
        </w:trPr>
        <w:tc>
          <w:tcPr>
            <w:tcW w:w="1660" w:type="dxa"/>
            <w:tcBorders>
              <w:top w:val="nil"/>
              <w:left w:val="nil"/>
              <w:bottom w:val="nil"/>
              <w:right w:val="nil"/>
            </w:tcBorders>
            <w:shd w:val="clear" w:color="auto" w:fill="auto"/>
            <w:noWrap/>
            <w:vAlign w:val="center"/>
            <w:hideMark/>
          </w:tcPr>
          <w:p w:rsidR="00B5477F" w:rsidRPr="00B5477F" w:rsidRDefault="00B5477F" w:rsidP="00B5477F">
            <w:pPr>
              <w:rPr>
                <w:rFonts w:ascii="Verdana" w:hAnsi="Verdana" w:cs="Calibri"/>
                <w:color w:val="000000"/>
                <w:sz w:val="20"/>
                <w:szCs w:val="20"/>
                <w:lang w:eastAsia="en-GB"/>
              </w:rPr>
            </w:pPr>
          </w:p>
        </w:tc>
        <w:tc>
          <w:tcPr>
            <w:tcW w:w="1120" w:type="dxa"/>
            <w:tcBorders>
              <w:top w:val="nil"/>
              <w:left w:val="nil"/>
              <w:bottom w:val="nil"/>
              <w:right w:val="nil"/>
            </w:tcBorders>
            <w:shd w:val="clear" w:color="auto" w:fill="auto"/>
            <w:noWrap/>
            <w:vAlign w:val="center"/>
            <w:hideMark/>
          </w:tcPr>
          <w:p w:rsidR="00B5477F" w:rsidRPr="00B5477F" w:rsidRDefault="00B5477F" w:rsidP="00B5477F">
            <w:pPr>
              <w:rPr>
                <w:rFonts w:ascii="Verdana" w:hAnsi="Verdana" w:cs="Calibri"/>
                <w:color w:val="000000"/>
                <w:sz w:val="20"/>
                <w:szCs w:val="20"/>
                <w:lang w:eastAsia="en-GB"/>
              </w:rPr>
            </w:pPr>
          </w:p>
        </w:tc>
        <w:tc>
          <w:tcPr>
            <w:tcW w:w="1340" w:type="dxa"/>
            <w:tcBorders>
              <w:top w:val="nil"/>
              <w:left w:val="nil"/>
              <w:bottom w:val="nil"/>
              <w:right w:val="nil"/>
            </w:tcBorders>
            <w:shd w:val="clear" w:color="auto" w:fill="auto"/>
            <w:noWrap/>
            <w:vAlign w:val="center"/>
            <w:hideMark/>
          </w:tcPr>
          <w:p w:rsidR="00B5477F" w:rsidRPr="00B5477F" w:rsidRDefault="00B5477F" w:rsidP="00B5477F">
            <w:pPr>
              <w:jc w:val="center"/>
              <w:rPr>
                <w:rFonts w:ascii="Verdana" w:hAnsi="Verdana" w:cs="Calibri"/>
                <w:color w:val="000000"/>
                <w:sz w:val="20"/>
                <w:szCs w:val="20"/>
                <w:lang w:eastAsia="en-GB"/>
              </w:rPr>
            </w:pPr>
            <w:r w:rsidRPr="00B5477F">
              <w:rPr>
                <w:rFonts w:ascii="Verdana" w:hAnsi="Verdana" w:cs="Arial"/>
                <w:color w:val="000000"/>
                <w:sz w:val="20"/>
                <w:szCs w:val="20"/>
                <w:lang w:eastAsia="en-GB"/>
              </w:rPr>
              <w:t>1</w:t>
            </w:r>
          </w:p>
        </w:tc>
        <w:tc>
          <w:tcPr>
            <w:tcW w:w="1340" w:type="dxa"/>
            <w:tcBorders>
              <w:top w:val="nil"/>
              <w:left w:val="nil"/>
              <w:bottom w:val="nil"/>
              <w:right w:val="nil"/>
            </w:tcBorders>
            <w:shd w:val="clear" w:color="auto" w:fill="auto"/>
            <w:noWrap/>
            <w:vAlign w:val="center"/>
            <w:hideMark/>
          </w:tcPr>
          <w:p w:rsidR="00B5477F" w:rsidRPr="00B5477F" w:rsidRDefault="00B5477F" w:rsidP="00B5477F">
            <w:pPr>
              <w:jc w:val="center"/>
              <w:rPr>
                <w:rFonts w:ascii="Verdana" w:hAnsi="Verdana" w:cs="Calibri"/>
                <w:color w:val="000000"/>
                <w:sz w:val="20"/>
                <w:szCs w:val="20"/>
                <w:lang w:eastAsia="en-GB"/>
              </w:rPr>
            </w:pPr>
            <w:r w:rsidRPr="00B5477F">
              <w:rPr>
                <w:rFonts w:ascii="Verdana" w:hAnsi="Verdana" w:cs="Arial"/>
                <w:color w:val="000000"/>
                <w:sz w:val="20"/>
                <w:szCs w:val="20"/>
                <w:lang w:eastAsia="en-GB"/>
              </w:rPr>
              <w:t>2</w:t>
            </w:r>
          </w:p>
        </w:tc>
        <w:tc>
          <w:tcPr>
            <w:tcW w:w="1340" w:type="dxa"/>
            <w:tcBorders>
              <w:top w:val="nil"/>
              <w:left w:val="nil"/>
              <w:bottom w:val="nil"/>
              <w:right w:val="nil"/>
            </w:tcBorders>
            <w:shd w:val="clear" w:color="auto" w:fill="auto"/>
            <w:noWrap/>
            <w:vAlign w:val="center"/>
            <w:hideMark/>
          </w:tcPr>
          <w:p w:rsidR="00B5477F" w:rsidRPr="00B5477F" w:rsidRDefault="00B5477F" w:rsidP="00B5477F">
            <w:pPr>
              <w:jc w:val="center"/>
              <w:rPr>
                <w:rFonts w:ascii="Verdana" w:hAnsi="Verdana" w:cs="Calibri"/>
                <w:color w:val="000000"/>
                <w:sz w:val="20"/>
                <w:szCs w:val="20"/>
                <w:lang w:eastAsia="en-GB"/>
              </w:rPr>
            </w:pPr>
            <w:r w:rsidRPr="00B5477F">
              <w:rPr>
                <w:rFonts w:ascii="Verdana" w:hAnsi="Verdana" w:cs="Arial"/>
                <w:color w:val="000000"/>
                <w:sz w:val="20"/>
                <w:szCs w:val="20"/>
                <w:lang w:eastAsia="en-GB"/>
              </w:rPr>
              <w:t>3</w:t>
            </w:r>
          </w:p>
        </w:tc>
        <w:tc>
          <w:tcPr>
            <w:tcW w:w="1340" w:type="dxa"/>
            <w:tcBorders>
              <w:top w:val="nil"/>
              <w:left w:val="nil"/>
              <w:bottom w:val="nil"/>
              <w:right w:val="nil"/>
            </w:tcBorders>
            <w:shd w:val="clear" w:color="auto" w:fill="auto"/>
            <w:noWrap/>
            <w:vAlign w:val="center"/>
            <w:hideMark/>
          </w:tcPr>
          <w:p w:rsidR="00B5477F" w:rsidRPr="00B5477F" w:rsidRDefault="00B5477F" w:rsidP="00B5477F">
            <w:pPr>
              <w:jc w:val="center"/>
              <w:rPr>
                <w:rFonts w:ascii="Verdana" w:hAnsi="Verdana" w:cs="Calibri"/>
                <w:color w:val="000000"/>
                <w:sz w:val="20"/>
                <w:szCs w:val="20"/>
                <w:lang w:eastAsia="en-GB"/>
              </w:rPr>
            </w:pPr>
            <w:r w:rsidRPr="00B5477F">
              <w:rPr>
                <w:rFonts w:ascii="Verdana" w:hAnsi="Verdana" w:cs="Arial"/>
                <w:color w:val="000000"/>
                <w:sz w:val="20"/>
                <w:szCs w:val="20"/>
                <w:lang w:eastAsia="en-GB"/>
              </w:rPr>
              <w:t>4</w:t>
            </w:r>
          </w:p>
        </w:tc>
        <w:tc>
          <w:tcPr>
            <w:tcW w:w="1349" w:type="dxa"/>
            <w:tcBorders>
              <w:top w:val="nil"/>
              <w:left w:val="nil"/>
              <w:bottom w:val="nil"/>
              <w:right w:val="nil"/>
            </w:tcBorders>
            <w:shd w:val="clear" w:color="auto" w:fill="auto"/>
            <w:noWrap/>
            <w:vAlign w:val="center"/>
            <w:hideMark/>
          </w:tcPr>
          <w:p w:rsidR="00B5477F" w:rsidRPr="00B5477F" w:rsidRDefault="00B5477F" w:rsidP="00B5477F">
            <w:pPr>
              <w:jc w:val="center"/>
              <w:rPr>
                <w:rFonts w:ascii="Verdana" w:hAnsi="Verdana" w:cs="Calibri"/>
                <w:color w:val="000000"/>
                <w:sz w:val="20"/>
                <w:szCs w:val="20"/>
                <w:lang w:eastAsia="en-GB"/>
              </w:rPr>
            </w:pPr>
            <w:r w:rsidRPr="00B5477F">
              <w:rPr>
                <w:rFonts w:ascii="Verdana" w:hAnsi="Verdana" w:cs="Arial"/>
                <w:color w:val="000000"/>
                <w:sz w:val="20"/>
                <w:szCs w:val="20"/>
                <w:lang w:eastAsia="en-GB"/>
              </w:rPr>
              <w:t>5</w:t>
            </w:r>
          </w:p>
        </w:tc>
      </w:tr>
      <w:tr w:rsidR="00B5477F" w:rsidRPr="00B5477F" w:rsidTr="00AC6D86">
        <w:trPr>
          <w:trHeight w:val="300"/>
        </w:trPr>
        <w:tc>
          <w:tcPr>
            <w:tcW w:w="1660" w:type="dxa"/>
            <w:tcBorders>
              <w:top w:val="nil"/>
              <w:left w:val="nil"/>
              <w:bottom w:val="nil"/>
              <w:right w:val="nil"/>
            </w:tcBorders>
            <w:shd w:val="clear" w:color="auto" w:fill="auto"/>
            <w:noWrap/>
            <w:vAlign w:val="center"/>
            <w:hideMark/>
          </w:tcPr>
          <w:p w:rsidR="00B5477F" w:rsidRPr="00B5477F" w:rsidRDefault="00B5477F" w:rsidP="00B5477F">
            <w:pPr>
              <w:rPr>
                <w:rFonts w:ascii="Verdana" w:hAnsi="Verdana" w:cs="Calibri"/>
                <w:color w:val="000000"/>
                <w:sz w:val="18"/>
                <w:szCs w:val="18"/>
                <w:lang w:eastAsia="en-GB"/>
              </w:rPr>
            </w:pPr>
          </w:p>
        </w:tc>
        <w:tc>
          <w:tcPr>
            <w:tcW w:w="1120" w:type="dxa"/>
            <w:tcBorders>
              <w:top w:val="nil"/>
              <w:left w:val="nil"/>
              <w:bottom w:val="nil"/>
              <w:right w:val="nil"/>
            </w:tcBorders>
            <w:shd w:val="clear" w:color="auto" w:fill="auto"/>
            <w:noWrap/>
            <w:vAlign w:val="center"/>
            <w:hideMark/>
          </w:tcPr>
          <w:p w:rsidR="00B5477F" w:rsidRPr="00B5477F" w:rsidRDefault="00B5477F" w:rsidP="00B5477F">
            <w:pPr>
              <w:rPr>
                <w:rFonts w:ascii="Verdana" w:hAnsi="Verdana" w:cs="Calibri"/>
                <w:b/>
                <w:bCs/>
                <w:color w:val="000000"/>
                <w:sz w:val="22"/>
                <w:szCs w:val="22"/>
                <w:lang w:eastAsia="en-GB"/>
              </w:rPr>
            </w:pPr>
            <w:r w:rsidRPr="00B5477F">
              <w:rPr>
                <w:rFonts w:ascii="Verdana" w:hAnsi="Verdana" w:cs="Arial"/>
                <w:b/>
                <w:bCs/>
                <w:color w:val="000000"/>
                <w:sz w:val="22"/>
                <w:szCs w:val="22"/>
                <w:lang w:eastAsia="en-GB"/>
              </w:rPr>
              <w:t>Impact</w:t>
            </w:r>
          </w:p>
        </w:tc>
        <w:tc>
          <w:tcPr>
            <w:tcW w:w="1340" w:type="dxa"/>
            <w:tcBorders>
              <w:top w:val="nil"/>
              <w:left w:val="nil"/>
              <w:bottom w:val="nil"/>
              <w:right w:val="nil"/>
            </w:tcBorders>
            <w:shd w:val="clear" w:color="auto" w:fill="auto"/>
            <w:noWrap/>
            <w:vAlign w:val="center"/>
            <w:hideMark/>
          </w:tcPr>
          <w:p w:rsidR="00B5477F" w:rsidRPr="00B5477F" w:rsidRDefault="00B5477F" w:rsidP="00B5477F">
            <w:pPr>
              <w:jc w:val="center"/>
              <w:rPr>
                <w:rFonts w:ascii="Verdana" w:hAnsi="Verdana" w:cs="Calibri"/>
                <w:color w:val="000000"/>
                <w:sz w:val="18"/>
                <w:szCs w:val="18"/>
                <w:lang w:eastAsia="en-GB"/>
              </w:rPr>
            </w:pPr>
            <w:r w:rsidRPr="00B5477F">
              <w:rPr>
                <w:rFonts w:ascii="Verdana" w:hAnsi="Verdana" w:cs="Calibri"/>
                <w:color w:val="000000"/>
                <w:sz w:val="18"/>
                <w:szCs w:val="18"/>
                <w:lang w:eastAsia="en-GB"/>
              </w:rPr>
              <w:t>Insignificant</w:t>
            </w:r>
          </w:p>
        </w:tc>
        <w:tc>
          <w:tcPr>
            <w:tcW w:w="1340" w:type="dxa"/>
            <w:tcBorders>
              <w:top w:val="nil"/>
              <w:left w:val="nil"/>
              <w:bottom w:val="nil"/>
              <w:right w:val="nil"/>
            </w:tcBorders>
            <w:shd w:val="clear" w:color="auto" w:fill="auto"/>
            <w:noWrap/>
            <w:vAlign w:val="center"/>
            <w:hideMark/>
          </w:tcPr>
          <w:p w:rsidR="00B5477F" w:rsidRPr="00B5477F" w:rsidRDefault="00B5477F" w:rsidP="00B5477F">
            <w:pPr>
              <w:jc w:val="center"/>
              <w:rPr>
                <w:rFonts w:ascii="Verdana" w:hAnsi="Verdana" w:cs="Calibri"/>
                <w:color w:val="000000"/>
                <w:sz w:val="18"/>
                <w:szCs w:val="18"/>
                <w:lang w:eastAsia="en-GB"/>
              </w:rPr>
            </w:pPr>
            <w:r w:rsidRPr="00B5477F">
              <w:rPr>
                <w:rFonts w:ascii="Verdana" w:hAnsi="Verdana" w:cs="Calibri"/>
                <w:color w:val="000000"/>
                <w:sz w:val="18"/>
                <w:szCs w:val="18"/>
                <w:lang w:eastAsia="en-GB"/>
              </w:rPr>
              <w:t>Minor</w:t>
            </w:r>
          </w:p>
        </w:tc>
        <w:tc>
          <w:tcPr>
            <w:tcW w:w="1340" w:type="dxa"/>
            <w:tcBorders>
              <w:top w:val="nil"/>
              <w:left w:val="nil"/>
              <w:bottom w:val="nil"/>
              <w:right w:val="nil"/>
            </w:tcBorders>
            <w:shd w:val="clear" w:color="auto" w:fill="auto"/>
            <w:noWrap/>
            <w:vAlign w:val="center"/>
            <w:hideMark/>
          </w:tcPr>
          <w:p w:rsidR="00B5477F" w:rsidRPr="00B5477F" w:rsidRDefault="00B5477F" w:rsidP="00B5477F">
            <w:pPr>
              <w:jc w:val="center"/>
              <w:rPr>
                <w:rFonts w:ascii="Verdana" w:hAnsi="Verdana" w:cs="Calibri"/>
                <w:color w:val="000000"/>
                <w:sz w:val="18"/>
                <w:szCs w:val="18"/>
                <w:lang w:eastAsia="en-GB"/>
              </w:rPr>
            </w:pPr>
            <w:r w:rsidRPr="00B5477F">
              <w:rPr>
                <w:rFonts w:ascii="Verdana" w:hAnsi="Verdana" w:cs="Calibri"/>
                <w:color w:val="000000"/>
                <w:sz w:val="18"/>
                <w:szCs w:val="18"/>
                <w:lang w:eastAsia="en-GB"/>
              </w:rPr>
              <w:t>Moderate</w:t>
            </w:r>
          </w:p>
        </w:tc>
        <w:tc>
          <w:tcPr>
            <w:tcW w:w="1340" w:type="dxa"/>
            <w:tcBorders>
              <w:top w:val="nil"/>
              <w:left w:val="nil"/>
              <w:bottom w:val="nil"/>
              <w:right w:val="nil"/>
            </w:tcBorders>
            <w:shd w:val="clear" w:color="auto" w:fill="auto"/>
            <w:noWrap/>
            <w:vAlign w:val="center"/>
            <w:hideMark/>
          </w:tcPr>
          <w:p w:rsidR="00B5477F" w:rsidRPr="00B5477F" w:rsidRDefault="00B5477F" w:rsidP="00B5477F">
            <w:pPr>
              <w:jc w:val="center"/>
              <w:rPr>
                <w:rFonts w:ascii="Verdana" w:hAnsi="Verdana" w:cs="Calibri"/>
                <w:color w:val="000000"/>
                <w:sz w:val="18"/>
                <w:szCs w:val="18"/>
                <w:lang w:eastAsia="en-GB"/>
              </w:rPr>
            </w:pPr>
            <w:r w:rsidRPr="00B5477F">
              <w:rPr>
                <w:rFonts w:ascii="Verdana" w:hAnsi="Verdana" w:cs="Calibri"/>
                <w:color w:val="000000"/>
                <w:sz w:val="18"/>
                <w:szCs w:val="18"/>
                <w:lang w:eastAsia="en-GB"/>
              </w:rPr>
              <w:t>Major</w:t>
            </w:r>
          </w:p>
        </w:tc>
        <w:tc>
          <w:tcPr>
            <w:tcW w:w="1349" w:type="dxa"/>
            <w:tcBorders>
              <w:top w:val="nil"/>
              <w:left w:val="nil"/>
              <w:bottom w:val="nil"/>
              <w:right w:val="nil"/>
            </w:tcBorders>
            <w:shd w:val="clear" w:color="auto" w:fill="auto"/>
            <w:noWrap/>
            <w:vAlign w:val="center"/>
            <w:hideMark/>
          </w:tcPr>
          <w:p w:rsidR="00B5477F" w:rsidRPr="00B5477F" w:rsidRDefault="00B5477F" w:rsidP="00B5477F">
            <w:pPr>
              <w:jc w:val="center"/>
              <w:rPr>
                <w:rFonts w:ascii="Verdana" w:hAnsi="Verdana" w:cs="Calibri"/>
                <w:color w:val="000000"/>
                <w:sz w:val="18"/>
                <w:szCs w:val="18"/>
                <w:lang w:eastAsia="en-GB"/>
              </w:rPr>
            </w:pPr>
            <w:r w:rsidRPr="00B5477F">
              <w:rPr>
                <w:rFonts w:ascii="Verdana" w:hAnsi="Verdana" w:cs="Calibri"/>
                <w:color w:val="000000"/>
                <w:sz w:val="18"/>
                <w:szCs w:val="18"/>
                <w:lang w:eastAsia="en-GB"/>
              </w:rPr>
              <w:t>Catastrophic</w:t>
            </w:r>
          </w:p>
        </w:tc>
      </w:tr>
    </w:tbl>
    <w:p w:rsidR="00B5477F" w:rsidRDefault="00B5477F" w:rsidP="0032749E">
      <w:pPr>
        <w:pStyle w:val="ListParagraph"/>
        <w:ind w:left="426"/>
        <w:rPr>
          <w:rFonts w:cs="Arial"/>
        </w:rPr>
      </w:pPr>
    </w:p>
    <w:tbl>
      <w:tblPr>
        <w:tblW w:w="7868" w:type="dxa"/>
        <w:tblInd w:w="93" w:type="dxa"/>
        <w:tblLook w:val="04A0" w:firstRow="1" w:lastRow="0" w:firstColumn="1" w:lastColumn="0" w:noHBand="0" w:noVBand="1"/>
      </w:tblPr>
      <w:tblGrid>
        <w:gridCol w:w="1967"/>
        <w:gridCol w:w="1967"/>
        <w:gridCol w:w="1967"/>
        <w:gridCol w:w="1967"/>
      </w:tblGrid>
      <w:tr w:rsidR="00A91CBA" w:rsidRPr="00A91CBA" w:rsidTr="00AC6D86">
        <w:trPr>
          <w:trHeight w:val="285"/>
        </w:trPr>
        <w:tc>
          <w:tcPr>
            <w:tcW w:w="1967" w:type="dxa"/>
            <w:tcBorders>
              <w:top w:val="nil"/>
              <w:left w:val="nil"/>
              <w:bottom w:val="nil"/>
              <w:right w:val="nil"/>
            </w:tcBorders>
            <w:shd w:val="clear" w:color="auto" w:fill="auto"/>
            <w:noWrap/>
            <w:vAlign w:val="center"/>
            <w:hideMark/>
          </w:tcPr>
          <w:p w:rsidR="00A91CBA" w:rsidRPr="00A91CBA" w:rsidRDefault="00A91CBA" w:rsidP="00A91CBA">
            <w:pPr>
              <w:rPr>
                <w:rFonts w:cs="Arial"/>
                <w:b/>
                <w:bCs/>
                <w:color w:val="000000"/>
                <w:lang w:eastAsia="en-GB"/>
              </w:rPr>
            </w:pPr>
            <w:r w:rsidRPr="00A91CBA">
              <w:rPr>
                <w:rFonts w:cs="Arial"/>
                <w:b/>
                <w:bCs/>
                <w:color w:val="000000"/>
                <w:lang w:eastAsia="en-GB"/>
              </w:rPr>
              <w:t>Key:</w:t>
            </w:r>
          </w:p>
        </w:tc>
        <w:tc>
          <w:tcPr>
            <w:tcW w:w="1967" w:type="dxa"/>
            <w:tcBorders>
              <w:top w:val="single" w:sz="8" w:space="0" w:color="auto"/>
              <w:left w:val="single" w:sz="8" w:space="0" w:color="auto"/>
              <w:bottom w:val="single" w:sz="8" w:space="0" w:color="auto"/>
              <w:right w:val="single" w:sz="8" w:space="0" w:color="auto"/>
            </w:tcBorders>
            <w:shd w:val="clear" w:color="000000" w:fill="00B050"/>
            <w:vAlign w:val="center"/>
            <w:hideMark/>
          </w:tcPr>
          <w:p w:rsidR="00A91CBA" w:rsidRPr="00A91CBA" w:rsidRDefault="00A91CBA" w:rsidP="00A91CBA">
            <w:pPr>
              <w:jc w:val="center"/>
              <w:rPr>
                <w:rFonts w:cs="Arial"/>
                <w:b/>
                <w:bCs/>
                <w:color w:val="FFFFFF"/>
                <w:lang w:eastAsia="en-GB"/>
              </w:rPr>
            </w:pPr>
            <w:r w:rsidRPr="00A91CBA">
              <w:rPr>
                <w:rFonts w:cs="Arial"/>
                <w:b/>
                <w:bCs/>
                <w:color w:val="FFFFFF"/>
                <w:lang w:eastAsia="en-GB"/>
              </w:rPr>
              <w:t>Green</w:t>
            </w:r>
          </w:p>
        </w:tc>
        <w:tc>
          <w:tcPr>
            <w:tcW w:w="1967" w:type="dxa"/>
            <w:tcBorders>
              <w:top w:val="single" w:sz="8" w:space="0" w:color="auto"/>
              <w:left w:val="nil"/>
              <w:bottom w:val="single" w:sz="8" w:space="0" w:color="auto"/>
              <w:right w:val="single" w:sz="8" w:space="0" w:color="auto"/>
            </w:tcBorders>
            <w:shd w:val="clear" w:color="000000" w:fill="FFC000"/>
            <w:vAlign w:val="center"/>
            <w:hideMark/>
          </w:tcPr>
          <w:p w:rsidR="00A91CBA" w:rsidRPr="00A91CBA" w:rsidRDefault="00A91CBA" w:rsidP="00A91CBA">
            <w:pPr>
              <w:jc w:val="center"/>
              <w:rPr>
                <w:rFonts w:cs="Arial"/>
                <w:b/>
                <w:bCs/>
                <w:color w:val="FFFFFF"/>
                <w:lang w:eastAsia="en-GB"/>
              </w:rPr>
            </w:pPr>
            <w:r w:rsidRPr="00A91CBA">
              <w:rPr>
                <w:rFonts w:cs="Arial"/>
                <w:b/>
                <w:bCs/>
                <w:color w:val="FFFFFF"/>
                <w:lang w:eastAsia="en-GB"/>
              </w:rPr>
              <w:t>Amber</w:t>
            </w:r>
          </w:p>
        </w:tc>
        <w:tc>
          <w:tcPr>
            <w:tcW w:w="1967" w:type="dxa"/>
            <w:tcBorders>
              <w:top w:val="single" w:sz="8" w:space="0" w:color="auto"/>
              <w:left w:val="nil"/>
              <w:bottom w:val="single" w:sz="8" w:space="0" w:color="auto"/>
              <w:right w:val="single" w:sz="8" w:space="0" w:color="auto"/>
            </w:tcBorders>
            <w:shd w:val="clear" w:color="000000" w:fill="FF0000"/>
            <w:vAlign w:val="center"/>
            <w:hideMark/>
          </w:tcPr>
          <w:p w:rsidR="00A91CBA" w:rsidRPr="00A91CBA" w:rsidRDefault="00A91CBA" w:rsidP="00A91CBA">
            <w:pPr>
              <w:jc w:val="center"/>
              <w:rPr>
                <w:rFonts w:cs="Arial"/>
                <w:b/>
                <w:bCs/>
                <w:color w:val="FFFFFF"/>
                <w:lang w:eastAsia="en-GB"/>
              </w:rPr>
            </w:pPr>
            <w:r w:rsidRPr="00A91CBA">
              <w:rPr>
                <w:rFonts w:cs="Arial"/>
                <w:b/>
                <w:bCs/>
                <w:color w:val="FFFFFF"/>
                <w:lang w:eastAsia="en-GB"/>
              </w:rPr>
              <w:t>Red</w:t>
            </w:r>
          </w:p>
        </w:tc>
      </w:tr>
      <w:tr w:rsidR="00A91CBA" w:rsidRPr="00A91CBA" w:rsidTr="00AC6D86">
        <w:trPr>
          <w:trHeight w:val="272"/>
        </w:trPr>
        <w:tc>
          <w:tcPr>
            <w:tcW w:w="1967" w:type="dxa"/>
            <w:tcBorders>
              <w:top w:val="nil"/>
              <w:left w:val="nil"/>
              <w:bottom w:val="nil"/>
              <w:right w:val="nil"/>
            </w:tcBorders>
            <w:shd w:val="clear" w:color="auto" w:fill="auto"/>
            <w:noWrap/>
            <w:vAlign w:val="bottom"/>
            <w:hideMark/>
          </w:tcPr>
          <w:p w:rsidR="00A91CBA" w:rsidRPr="00A91CBA" w:rsidRDefault="00A91CBA" w:rsidP="00A91CBA">
            <w:pPr>
              <w:rPr>
                <w:rFonts w:ascii="Calibri" w:hAnsi="Calibri" w:cs="Calibri"/>
                <w:color w:val="000000"/>
                <w:sz w:val="22"/>
                <w:szCs w:val="22"/>
                <w:lang w:eastAsia="en-GB"/>
              </w:rPr>
            </w:pPr>
          </w:p>
        </w:tc>
        <w:tc>
          <w:tcPr>
            <w:tcW w:w="1967" w:type="dxa"/>
            <w:tcBorders>
              <w:top w:val="nil"/>
              <w:left w:val="single" w:sz="8" w:space="0" w:color="auto"/>
              <w:bottom w:val="single" w:sz="8" w:space="0" w:color="auto"/>
              <w:right w:val="single" w:sz="8" w:space="0" w:color="auto"/>
            </w:tcBorders>
            <w:shd w:val="thinHorzStripe" w:color="000000" w:fill="00B050"/>
            <w:vAlign w:val="center"/>
            <w:hideMark/>
          </w:tcPr>
          <w:p w:rsidR="00A91CBA" w:rsidRPr="00A91CBA" w:rsidRDefault="00A91CBA" w:rsidP="00A91CBA">
            <w:pPr>
              <w:rPr>
                <w:rFonts w:cs="Arial"/>
                <w:color w:val="000000"/>
                <w:lang w:eastAsia="en-GB"/>
              </w:rPr>
            </w:pPr>
            <w:r w:rsidRPr="00A91CBA">
              <w:rPr>
                <w:rFonts w:eastAsiaTheme="minorHAnsi" w:cs="Arial"/>
                <w:color w:val="000000"/>
                <w:lang w:eastAsia="en-GB"/>
              </w:rPr>
              <w:t> </w:t>
            </w:r>
          </w:p>
        </w:tc>
        <w:tc>
          <w:tcPr>
            <w:tcW w:w="1967" w:type="dxa"/>
            <w:tcBorders>
              <w:top w:val="nil"/>
              <w:left w:val="nil"/>
              <w:bottom w:val="single" w:sz="8" w:space="0" w:color="auto"/>
              <w:right w:val="single" w:sz="8" w:space="0" w:color="auto"/>
            </w:tcBorders>
            <w:shd w:val="thinVertStripe" w:color="000000" w:fill="FFC000"/>
            <w:vAlign w:val="center"/>
            <w:hideMark/>
          </w:tcPr>
          <w:p w:rsidR="00A91CBA" w:rsidRPr="00A91CBA" w:rsidRDefault="00A91CBA" w:rsidP="00A91CBA">
            <w:pPr>
              <w:rPr>
                <w:rFonts w:cs="Arial"/>
                <w:color w:val="000000"/>
                <w:lang w:eastAsia="en-GB"/>
              </w:rPr>
            </w:pPr>
            <w:r w:rsidRPr="00A91CBA">
              <w:rPr>
                <w:rFonts w:eastAsiaTheme="minorHAnsi" w:cs="Arial"/>
                <w:color w:val="000000"/>
                <w:lang w:eastAsia="en-GB"/>
              </w:rPr>
              <w:t> </w:t>
            </w:r>
          </w:p>
        </w:tc>
        <w:tc>
          <w:tcPr>
            <w:tcW w:w="1967" w:type="dxa"/>
            <w:tcBorders>
              <w:top w:val="nil"/>
              <w:left w:val="nil"/>
              <w:bottom w:val="single" w:sz="8" w:space="0" w:color="auto"/>
              <w:right w:val="single" w:sz="8" w:space="0" w:color="auto"/>
            </w:tcBorders>
            <w:shd w:val="thinDiagCross" w:color="000000" w:fill="FF0000"/>
            <w:vAlign w:val="center"/>
            <w:hideMark/>
          </w:tcPr>
          <w:p w:rsidR="00A91CBA" w:rsidRPr="00A91CBA" w:rsidRDefault="00A91CBA" w:rsidP="00A91CBA">
            <w:pPr>
              <w:rPr>
                <w:rFonts w:cs="Arial"/>
                <w:color w:val="000000"/>
                <w:lang w:eastAsia="en-GB"/>
              </w:rPr>
            </w:pPr>
            <w:r w:rsidRPr="00A91CBA">
              <w:rPr>
                <w:rFonts w:eastAsiaTheme="minorHAnsi" w:cs="Arial"/>
                <w:color w:val="000000"/>
                <w:lang w:eastAsia="en-GB"/>
              </w:rPr>
              <w:t> </w:t>
            </w:r>
          </w:p>
        </w:tc>
      </w:tr>
    </w:tbl>
    <w:p w:rsidR="00A91CBA" w:rsidRDefault="00A91CBA" w:rsidP="0032749E">
      <w:pPr>
        <w:pStyle w:val="ListParagraph"/>
        <w:ind w:left="426"/>
        <w:rPr>
          <w:rFonts w:cs="Arial"/>
        </w:rPr>
      </w:pPr>
    </w:p>
    <w:p w:rsidR="00A91CBA" w:rsidRDefault="00A91CBA" w:rsidP="00A91CBA">
      <w:pPr>
        <w:rPr>
          <w:rFonts w:cs="Arial"/>
          <w:b/>
        </w:rPr>
      </w:pPr>
      <w:r>
        <w:rPr>
          <w:rFonts w:cs="Arial"/>
          <w:b/>
        </w:rPr>
        <w:t xml:space="preserve">Risk </w:t>
      </w:r>
      <w:r w:rsidRPr="00A91CBA">
        <w:rPr>
          <w:rFonts w:cs="Arial"/>
          <w:b/>
        </w:rPr>
        <w:t>Identification</w:t>
      </w:r>
    </w:p>
    <w:p w:rsidR="00A91CBA" w:rsidRDefault="00A91CBA" w:rsidP="0032749E">
      <w:pPr>
        <w:pStyle w:val="ListParagraph"/>
        <w:ind w:left="426"/>
        <w:rPr>
          <w:rFonts w:cs="Arial"/>
        </w:rPr>
      </w:pPr>
    </w:p>
    <w:p w:rsidR="0032749E" w:rsidRDefault="00A91CBA" w:rsidP="00A32A7B">
      <w:pPr>
        <w:numPr>
          <w:ilvl w:val="0"/>
          <w:numId w:val="1"/>
        </w:numPr>
        <w:ind w:left="426" w:hanging="426"/>
        <w:rPr>
          <w:rFonts w:cs="Arial"/>
        </w:rPr>
      </w:pPr>
      <w:r w:rsidRPr="00A91CBA">
        <w:rPr>
          <w:rFonts w:cs="Arial"/>
          <w:b/>
        </w:rPr>
        <w:t xml:space="preserve">Corporate Risks – </w:t>
      </w:r>
      <w:r w:rsidRPr="00A91CBA">
        <w:rPr>
          <w:rFonts w:cs="Arial"/>
        </w:rPr>
        <w:t xml:space="preserve">The Corporate Risk Register (CRR) is reviewed by the Corporate Management Team (CMT) on a quarterly basis, any new risks are incorporated into a revised version of the CRR.  Risk owners for corporate risks are generally at Director </w:t>
      </w:r>
      <w:proofErr w:type="gramStart"/>
      <w:r w:rsidRPr="00A91CBA">
        <w:rPr>
          <w:rFonts w:cs="Arial"/>
        </w:rPr>
        <w:t>level</w:t>
      </w:r>
      <w:proofErr w:type="gramEnd"/>
      <w:r w:rsidRPr="00A91CBA">
        <w:rPr>
          <w:rFonts w:cs="Arial"/>
        </w:rPr>
        <w:t>.</w:t>
      </w:r>
    </w:p>
    <w:p w:rsidR="00A91CBA" w:rsidRDefault="00A91CBA" w:rsidP="00A91CBA">
      <w:pPr>
        <w:ind w:left="426"/>
        <w:rPr>
          <w:rFonts w:cs="Arial"/>
        </w:rPr>
      </w:pPr>
    </w:p>
    <w:p w:rsidR="00A91CBA" w:rsidRDefault="00A91CBA" w:rsidP="00A32A7B">
      <w:pPr>
        <w:numPr>
          <w:ilvl w:val="0"/>
          <w:numId w:val="1"/>
        </w:numPr>
        <w:ind w:left="426" w:hanging="426"/>
        <w:rPr>
          <w:rFonts w:cs="Arial"/>
        </w:rPr>
      </w:pPr>
      <w:r w:rsidRPr="00A91CBA">
        <w:rPr>
          <w:rFonts w:cs="Arial"/>
          <w:b/>
        </w:rPr>
        <w:t xml:space="preserve">Service Risks – </w:t>
      </w:r>
      <w:r w:rsidRPr="00A91CBA">
        <w:rPr>
          <w:rFonts w:cs="Arial"/>
        </w:rPr>
        <w:t xml:space="preserve">Service area risks are reviewed periodically by Heads of Service and Service Managers.  The Financial Accounting Manager has oversight of all risks and on a quarterly basis will review service risks to determine </w:t>
      </w:r>
      <w:r>
        <w:rPr>
          <w:rFonts w:cs="Arial"/>
        </w:rPr>
        <w:t>whether they should be considered f</w:t>
      </w:r>
      <w:r w:rsidRPr="00A91CBA">
        <w:rPr>
          <w:rFonts w:cs="Arial"/>
        </w:rPr>
        <w:t>or inclusion in the Corporate Risk Register.</w:t>
      </w:r>
    </w:p>
    <w:p w:rsidR="001135F8" w:rsidRDefault="001135F8" w:rsidP="001135F8">
      <w:pPr>
        <w:pStyle w:val="ListParagraph"/>
        <w:ind w:left="426"/>
        <w:rPr>
          <w:rFonts w:cs="Arial"/>
        </w:rPr>
      </w:pPr>
    </w:p>
    <w:p w:rsidR="001135F8" w:rsidRDefault="001135F8" w:rsidP="00A32A7B">
      <w:pPr>
        <w:numPr>
          <w:ilvl w:val="0"/>
          <w:numId w:val="1"/>
        </w:numPr>
        <w:ind w:left="426" w:hanging="426"/>
        <w:rPr>
          <w:rFonts w:cs="Arial"/>
        </w:rPr>
      </w:pPr>
      <w:r w:rsidRPr="001135F8">
        <w:rPr>
          <w:rFonts w:cs="Arial"/>
          <w:b/>
        </w:rPr>
        <w:t xml:space="preserve">Project and Programme Risk – </w:t>
      </w:r>
      <w:r w:rsidRPr="001135F8">
        <w:rPr>
          <w:rFonts w:cs="Arial"/>
        </w:rPr>
        <w:t>The Council adopts the principles of Prince2 methodology for managing projects. Incorporated within this methodology is a robust process for the management of risk within a project environment.  Each project is managed by the Project Manager who controls and co-ordinates all aspects of the project through to conclusion.</w:t>
      </w:r>
    </w:p>
    <w:p w:rsidR="0032749E" w:rsidRDefault="0032749E" w:rsidP="0032749E">
      <w:pPr>
        <w:ind w:left="426"/>
        <w:rPr>
          <w:rFonts w:cs="Arial"/>
        </w:rPr>
      </w:pPr>
    </w:p>
    <w:p w:rsidR="0032749E" w:rsidRPr="00A32A7B" w:rsidRDefault="001135F8" w:rsidP="0032749E">
      <w:pPr>
        <w:rPr>
          <w:rFonts w:cs="Arial"/>
          <w:b/>
        </w:rPr>
      </w:pPr>
      <w:r>
        <w:rPr>
          <w:rFonts w:cs="Arial"/>
          <w:b/>
        </w:rPr>
        <w:t xml:space="preserve">Quarter </w:t>
      </w:r>
      <w:r w:rsidR="00E26FB2">
        <w:rPr>
          <w:rFonts w:cs="Arial"/>
          <w:b/>
        </w:rPr>
        <w:t>2</w:t>
      </w:r>
      <w:r>
        <w:rPr>
          <w:rFonts w:cs="Arial"/>
          <w:b/>
        </w:rPr>
        <w:t xml:space="preserve"> Corporate Risk Register</w:t>
      </w:r>
    </w:p>
    <w:p w:rsidR="0032749E" w:rsidRPr="00A32A7B" w:rsidRDefault="0032749E" w:rsidP="0032749E">
      <w:pPr>
        <w:rPr>
          <w:rFonts w:cs="Arial"/>
        </w:rPr>
      </w:pPr>
    </w:p>
    <w:p w:rsidR="0032749E" w:rsidRDefault="001135F8" w:rsidP="00A32A7B">
      <w:pPr>
        <w:numPr>
          <w:ilvl w:val="0"/>
          <w:numId w:val="1"/>
        </w:numPr>
        <w:ind w:left="426" w:hanging="426"/>
        <w:rPr>
          <w:rFonts w:cs="Arial"/>
        </w:rPr>
      </w:pPr>
      <w:r w:rsidRPr="001135F8">
        <w:rPr>
          <w:rFonts w:cs="Arial"/>
        </w:rPr>
        <w:lastRenderedPageBreak/>
        <w:t>The Corporate Risk Register (Appendix A) shows that the</w:t>
      </w:r>
      <w:r w:rsidR="00E26FB2">
        <w:rPr>
          <w:rFonts w:cs="Arial"/>
        </w:rPr>
        <w:t xml:space="preserve"> Medium Term Financial Plan </w:t>
      </w:r>
      <w:r w:rsidRPr="001135F8">
        <w:rPr>
          <w:rFonts w:cs="Arial"/>
        </w:rPr>
        <w:t xml:space="preserve">risk </w:t>
      </w:r>
      <w:r w:rsidR="00E26FB2">
        <w:rPr>
          <w:rFonts w:cs="Arial"/>
        </w:rPr>
        <w:t xml:space="preserve">has changed to a red risk.  This is </w:t>
      </w:r>
      <w:r w:rsidR="005D6DCA">
        <w:rPr>
          <w:rFonts w:cs="Arial"/>
        </w:rPr>
        <w:t xml:space="preserve">due to the announcements in the </w:t>
      </w:r>
      <w:r w:rsidR="005D6DCA" w:rsidRPr="005D6DCA">
        <w:rPr>
          <w:rFonts w:cs="Arial"/>
        </w:rPr>
        <w:t>Chancellor’</w:t>
      </w:r>
      <w:r w:rsidR="005D6DCA">
        <w:rPr>
          <w:rFonts w:cs="Arial"/>
        </w:rPr>
        <w:t xml:space="preserve">s Budget Statement in July 2015. </w:t>
      </w:r>
      <w:r w:rsidRPr="001135F8">
        <w:rPr>
          <w:rFonts w:cs="Arial"/>
        </w:rPr>
        <w:t xml:space="preserve"> The table below shows the movement of risks over the last 15 months.</w:t>
      </w:r>
    </w:p>
    <w:p w:rsidR="000116FF" w:rsidRDefault="000116FF" w:rsidP="000116FF">
      <w:pPr>
        <w:ind w:left="426"/>
        <w:rPr>
          <w:rFonts w:cs="Arial"/>
        </w:rPr>
      </w:pPr>
    </w:p>
    <w:tbl>
      <w:tblPr>
        <w:tblW w:w="7260" w:type="dxa"/>
        <w:tblInd w:w="720" w:type="dxa"/>
        <w:tblLook w:val="04A0" w:firstRow="1" w:lastRow="0" w:firstColumn="1" w:lastColumn="0" w:noHBand="0" w:noVBand="1"/>
      </w:tblPr>
      <w:tblGrid>
        <w:gridCol w:w="1660"/>
        <w:gridCol w:w="1120"/>
        <w:gridCol w:w="1120"/>
        <w:gridCol w:w="1120"/>
        <w:gridCol w:w="1120"/>
        <w:gridCol w:w="1120"/>
      </w:tblGrid>
      <w:tr w:rsidR="005D6DCA" w:rsidRPr="00D3115F" w:rsidTr="00D3115F">
        <w:trPr>
          <w:trHeight w:val="315"/>
        </w:trPr>
        <w:tc>
          <w:tcPr>
            <w:tcW w:w="1660" w:type="dxa"/>
            <w:vMerge w:val="restar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5D6DCA" w:rsidRPr="00D3115F" w:rsidRDefault="005D6DCA" w:rsidP="00D3115F">
            <w:pPr>
              <w:rPr>
                <w:rFonts w:cs="Arial"/>
                <w:b/>
                <w:bCs/>
                <w:color w:val="000000"/>
                <w:lang w:eastAsia="en-GB"/>
              </w:rPr>
            </w:pPr>
            <w:r w:rsidRPr="00D3115F">
              <w:rPr>
                <w:rFonts w:cs="Arial"/>
                <w:b/>
                <w:bCs/>
                <w:color w:val="000000"/>
                <w:lang w:eastAsia="en-GB"/>
              </w:rPr>
              <w:t>Current Risk</w:t>
            </w:r>
          </w:p>
        </w:tc>
        <w:tc>
          <w:tcPr>
            <w:tcW w:w="112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D6DCA" w:rsidRPr="00D3115F" w:rsidRDefault="005D6DCA" w:rsidP="004E7AC5">
            <w:pPr>
              <w:jc w:val="right"/>
              <w:rPr>
                <w:rFonts w:cs="Arial"/>
                <w:b/>
                <w:bCs/>
                <w:color w:val="000000"/>
                <w:lang w:eastAsia="en-GB"/>
              </w:rPr>
            </w:pPr>
            <w:r w:rsidRPr="00D3115F">
              <w:rPr>
                <w:rFonts w:cs="Arial"/>
                <w:b/>
                <w:bCs/>
                <w:color w:val="000000"/>
                <w:lang w:eastAsia="en-GB"/>
              </w:rPr>
              <w:t>Q2 2014/15</w:t>
            </w:r>
          </w:p>
        </w:tc>
        <w:tc>
          <w:tcPr>
            <w:tcW w:w="112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D6DCA" w:rsidRPr="00D3115F" w:rsidRDefault="005D6DCA" w:rsidP="004E7AC5">
            <w:pPr>
              <w:jc w:val="right"/>
              <w:rPr>
                <w:rFonts w:cs="Arial"/>
                <w:b/>
                <w:bCs/>
                <w:color w:val="000000"/>
                <w:lang w:eastAsia="en-GB"/>
              </w:rPr>
            </w:pPr>
            <w:r w:rsidRPr="00D3115F">
              <w:rPr>
                <w:rFonts w:cs="Arial"/>
                <w:b/>
                <w:bCs/>
                <w:color w:val="000000"/>
                <w:lang w:eastAsia="en-GB"/>
              </w:rPr>
              <w:t>Q3 2014/15</w:t>
            </w:r>
          </w:p>
        </w:tc>
        <w:tc>
          <w:tcPr>
            <w:tcW w:w="112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D6DCA" w:rsidRPr="00D3115F" w:rsidRDefault="005D6DCA" w:rsidP="004E7AC5">
            <w:pPr>
              <w:jc w:val="right"/>
              <w:rPr>
                <w:rFonts w:cs="Arial"/>
                <w:b/>
                <w:bCs/>
                <w:color w:val="000000"/>
                <w:lang w:eastAsia="en-GB"/>
              </w:rPr>
            </w:pPr>
            <w:r w:rsidRPr="00D3115F">
              <w:rPr>
                <w:rFonts w:cs="Arial"/>
                <w:b/>
                <w:bCs/>
                <w:color w:val="000000"/>
                <w:lang w:eastAsia="en-GB"/>
              </w:rPr>
              <w:t>Q4 2014/15</w:t>
            </w:r>
          </w:p>
        </w:tc>
        <w:tc>
          <w:tcPr>
            <w:tcW w:w="112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D6DCA" w:rsidRPr="00D3115F" w:rsidRDefault="005D6DCA" w:rsidP="004E7AC5">
            <w:pPr>
              <w:jc w:val="right"/>
              <w:rPr>
                <w:rFonts w:cs="Arial"/>
                <w:b/>
                <w:bCs/>
                <w:color w:val="000000"/>
                <w:lang w:eastAsia="en-GB"/>
              </w:rPr>
            </w:pPr>
            <w:r w:rsidRPr="00D3115F">
              <w:rPr>
                <w:rFonts w:cs="Arial"/>
                <w:b/>
                <w:bCs/>
                <w:color w:val="000000"/>
                <w:lang w:eastAsia="en-GB"/>
              </w:rPr>
              <w:t>Q1 2015/16</w:t>
            </w:r>
          </w:p>
        </w:tc>
        <w:tc>
          <w:tcPr>
            <w:tcW w:w="1120" w:type="dxa"/>
            <w:vMerge w:val="restart"/>
            <w:tcBorders>
              <w:top w:val="single" w:sz="8" w:space="0" w:color="000000"/>
              <w:left w:val="single" w:sz="8" w:space="0" w:color="000000"/>
              <w:bottom w:val="single" w:sz="8" w:space="0" w:color="000000"/>
              <w:right w:val="single" w:sz="8" w:space="0" w:color="000000"/>
            </w:tcBorders>
            <w:shd w:val="clear" w:color="000000" w:fill="D9D9D9"/>
            <w:vAlign w:val="center"/>
            <w:hideMark/>
          </w:tcPr>
          <w:p w:rsidR="005D6DCA" w:rsidRPr="00D3115F" w:rsidRDefault="005D6DCA" w:rsidP="005D6DCA">
            <w:pPr>
              <w:jc w:val="right"/>
              <w:rPr>
                <w:rFonts w:cs="Arial"/>
                <w:b/>
                <w:bCs/>
                <w:color w:val="000000"/>
                <w:lang w:eastAsia="en-GB"/>
              </w:rPr>
            </w:pPr>
            <w:r w:rsidRPr="00D3115F">
              <w:rPr>
                <w:rFonts w:cs="Arial"/>
                <w:b/>
                <w:bCs/>
                <w:color w:val="000000"/>
                <w:lang w:eastAsia="en-GB"/>
              </w:rPr>
              <w:t>Q</w:t>
            </w:r>
            <w:r>
              <w:rPr>
                <w:rFonts w:cs="Arial"/>
                <w:b/>
                <w:bCs/>
                <w:color w:val="000000"/>
                <w:lang w:eastAsia="en-GB"/>
              </w:rPr>
              <w:t>2</w:t>
            </w:r>
            <w:r w:rsidRPr="00D3115F">
              <w:rPr>
                <w:rFonts w:cs="Arial"/>
                <w:b/>
                <w:bCs/>
                <w:color w:val="000000"/>
                <w:lang w:eastAsia="en-GB"/>
              </w:rPr>
              <w:t xml:space="preserve"> 2015/16</w:t>
            </w:r>
          </w:p>
        </w:tc>
      </w:tr>
      <w:tr w:rsidR="005D6DCA" w:rsidRPr="00D3115F" w:rsidTr="00D3115F">
        <w:trPr>
          <w:trHeight w:val="315"/>
        </w:trPr>
        <w:tc>
          <w:tcPr>
            <w:tcW w:w="1660" w:type="dxa"/>
            <w:vMerge/>
            <w:tcBorders>
              <w:top w:val="single" w:sz="8" w:space="0" w:color="000000"/>
              <w:left w:val="single" w:sz="8" w:space="0" w:color="000000"/>
              <w:bottom w:val="single" w:sz="8" w:space="0" w:color="000000"/>
              <w:right w:val="single" w:sz="8" w:space="0" w:color="000000"/>
            </w:tcBorders>
            <w:vAlign w:val="center"/>
            <w:hideMark/>
          </w:tcPr>
          <w:p w:rsidR="005D6DCA" w:rsidRPr="00D3115F" w:rsidRDefault="005D6DCA" w:rsidP="00D3115F">
            <w:pPr>
              <w:rPr>
                <w:rFonts w:cs="Arial"/>
                <w:b/>
                <w:bCs/>
                <w:color w:val="000000"/>
                <w:lang w:eastAsia="en-GB"/>
              </w:rPr>
            </w:pPr>
          </w:p>
        </w:tc>
        <w:tc>
          <w:tcPr>
            <w:tcW w:w="1120" w:type="dxa"/>
            <w:vMerge/>
            <w:tcBorders>
              <w:top w:val="single" w:sz="8" w:space="0" w:color="000000"/>
              <w:left w:val="single" w:sz="8" w:space="0" w:color="000000"/>
              <w:bottom w:val="single" w:sz="8" w:space="0" w:color="000000"/>
              <w:right w:val="single" w:sz="8" w:space="0" w:color="000000"/>
            </w:tcBorders>
            <w:vAlign w:val="center"/>
            <w:hideMark/>
          </w:tcPr>
          <w:p w:rsidR="005D6DCA" w:rsidRPr="00D3115F" w:rsidRDefault="005D6DCA" w:rsidP="00D3115F">
            <w:pPr>
              <w:rPr>
                <w:rFonts w:cs="Arial"/>
                <w:b/>
                <w:bCs/>
                <w:color w:val="000000"/>
                <w:lang w:eastAsia="en-GB"/>
              </w:rPr>
            </w:pPr>
          </w:p>
        </w:tc>
        <w:tc>
          <w:tcPr>
            <w:tcW w:w="1120" w:type="dxa"/>
            <w:vMerge/>
            <w:tcBorders>
              <w:top w:val="single" w:sz="8" w:space="0" w:color="000000"/>
              <w:left w:val="single" w:sz="8" w:space="0" w:color="000000"/>
              <w:bottom w:val="single" w:sz="8" w:space="0" w:color="000000"/>
              <w:right w:val="single" w:sz="8" w:space="0" w:color="000000"/>
            </w:tcBorders>
            <w:vAlign w:val="center"/>
            <w:hideMark/>
          </w:tcPr>
          <w:p w:rsidR="005D6DCA" w:rsidRPr="00D3115F" w:rsidRDefault="005D6DCA" w:rsidP="00D3115F">
            <w:pPr>
              <w:rPr>
                <w:rFonts w:cs="Arial"/>
                <w:b/>
                <w:bCs/>
                <w:color w:val="000000"/>
                <w:lang w:eastAsia="en-GB"/>
              </w:rPr>
            </w:pPr>
          </w:p>
        </w:tc>
        <w:tc>
          <w:tcPr>
            <w:tcW w:w="1120" w:type="dxa"/>
            <w:vMerge/>
            <w:tcBorders>
              <w:top w:val="single" w:sz="8" w:space="0" w:color="000000"/>
              <w:left w:val="single" w:sz="8" w:space="0" w:color="000000"/>
              <w:bottom w:val="single" w:sz="8" w:space="0" w:color="000000"/>
              <w:right w:val="single" w:sz="8" w:space="0" w:color="000000"/>
            </w:tcBorders>
            <w:vAlign w:val="center"/>
            <w:hideMark/>
          </w:tcPr>
          <w:p w:rsidR="005D6DCA" w:rsidRPr="00D3115F" w:rsidRDefault="005D6DCA" w:rsidP="00D3115F">
            <w:pPr>
              <w:rPr>
                <w:rFonts w:cs="Arial"/>
                <w:b/>
                <w:bCs/>
                <w:color w:val="000000"/>
                <w:lang w:eastAsia="en-GB"/>
              </w:rPr>
            </w:pPr>
          </w:p>
        </w:tc>
        <w:tc>
          <w:tcPr>
            <w:tcW w:w="1120" w:type="dxa"/>
            <w:vMerge/>
            <w:tcBorders>
              <w:top w:val="single" w:sz="8" w:space="0" w:color="000000"/>
              <w:left w:val="single" w:sz="8" w:space="0" w:color="000000"/>
              <w:bottom w:val="single" w:sz="8" w:space="0" w:color="000000"/>
              <w:right w:val="single" w:sz="8" w:space="0" w:color="000000"/>
            </w:tcBorders>
            <w:vAlign w:val="center"/>
            <w:hideMark/>
          </w:tcPr>
          <w:p w:rsidR="005D6DCA" w:rsidRPr="00D3115F" w:rsidRDefault="005D6DCA" w:rsidP="00D3115F">
            <w:pPr>
              <w:rPr>
                <w:rFonts w:cs="Arial"/>
                <w:b/>
                <w:bCs/>
                <w:color w:val="000000"/>
                <w:lang w:eastAsia="en-GB"/>
              </w:rPr>
            </w:pPr>
          </w:p>
        </w:tc>
        <w:tc>
          <w:tcPr>
            <w:tcW w:w="1120" w:type="dxa"/>
            <w:vMerge/>
            <w:tcBorders>
              <w:top w:val="single" w:sz="8" w:space="0" w:color="000000"/>
              <w:left w:val="single" w:sz="8" w:space="0" w:color="000000"/>
              <w:bottom w:val="single" w:sz="8" w:space="0" w:color="000000"/>
              <w:right w:val="single" w:sz="8" w:space="0" w:color="000000"/>
            </w:tcBorders>
            <w:vAlign w:val="center"/>
            <w:hideMark/>
          </w:tcPr>
          <w:p w:rsidR="005D6DCA" w:rsidRPr="00D3115F" w:rsidRDefault="005D6DCA" w:rsidP="00D3115F">
            <w:pPr>
              <w:rPr>
                <w:rFonts w:cs="Arial"/>
                <w:b/>
                <w:bCs/>
                <w:color w:val="000000"/>
                <w:lang w:eastAsia="en-GB"/>
              </w:rPr>
            </w:pPr>
          </w:p>
        </w:tc>
      </w:tr>
      <w:tr w:rsidR="005D6DCA" w:rsidRPr="00D3115F" w:rsidTr="00D3115F">
        <w:trPr>
          <w:trHeight w:val="315"/>
        </w:trPr>
        <w:tc>
          <w:tcPr>
            <w:tcW w:w="1660" w:type="dxa"/>
            <w:tcBorders>
              <w:top w:val="nil"/>
              <w:left w:val="single" w:sz="8" w:space="0" w:color="000000"/>
              <w:bottom w:val="single" w:sz="8" w:space="0" w:color="000000"/>
              <w:right w:val="single" w:sz="8" w:space="0" w:color="000000"/>
            </w:tcBorders>
            <w:shd w:val="clear" w:color="auto" w:fill="auto"/>
            <w:noWrap/>
            <w:vAlign w:val="center"/>
            <w:hideMark/>
          </w:tcPr>
          <w:p w:rsidR="005D6DCA" w:rsidRPr="00D3115F" w:rsidRDefault="005D6DCA" w:rsidP="00D3115F">
            <w:pPr>
              <w:rPr>
                <w:rFonts w:cs="Arial"/>
                <w:color w:val="000000"/>
                <w:lang w:eastAsia="en-GB"/>
              </w:rPr>
            </w:pPr>
            <w:r w:rsidRPr="00D3115F">
              <w:rPr>
                <w:rFonts w:cs="Arial"/>
                <w:color w:val="000000"/>
                <w:lang w:eastAsia="en-GB"/>
              </w:rPr>
              <w:t>Red</w:t>
            </w:r>
          </w:p>
        </w:tc>
        <w:tc>
          <w:tcPr>
            <w:tcW w:w="1120" w:type="dxa"/>
            <w:tcBorders>
              <w:top w:val="nil"/>
              <w:left w:val="nil"/>
              <w:bottom w:val="single" w:sz="8" w:space="0" w:color="000000"/>
              <w:right w:val="single" w:sz="8" w:space="0" w:color="000000"/>
            </w:tcBorders>
            <w:shd w:val="clear" w:color="auto" w:fill="auto"/>
            <w:vAlign w:val="center"/>
            <w:hideMark/>
          </w:tcPr>
          <w:p w:rsidR="005D6DCA" w:rsidRPr="00D3115F" w:rsidRDefault="005D6DCA" w:rsidP="004E7AC5">
            <w:pPr>
              <w:jc w:val="right"/>
              <w:rPr>
                <w:rFonts w:cs="Arial"/>
                <w:color w:val="000000"/>
                <w:lang w:eastAsia="en-GB"/>
              </w:rPr>
            </w:pPr>
            <w:r w:rsidRPr="00D3115F">
              <w:rPr>
                <w:rFonts w:cs="Arial"/>
                <w:color w:val="000000"/>
                <w:lang w:eastAsia="en-GB"/>
              </w:rPr>
              <w:t>0</w:t>
            </w:r>
          </w:p>
        </w:tc>
        <w:tc>
          <w:tcPr>
            <w:tcW w:w="1120" w:type="dxa"/>
            <w:tcBorders>
              <w:top w:val="nil"/>
              <w:left w:val="nil"/>
              <w:bottom w:val="single" w:sz="8" w:space="0" w:color="000000"/>
              <w:right w:val="single" w:sz="8" w:space="0" w:color="000000"/>
            </w:tcBorders>
            <w:shd w:val="clear" w:color="auto" w:fill="auto"/>
            <w:vAlign w:val="center"/>
            <w:hideMark/>
          </w:tcPr>
          <w:p w:rsidR="005D6DCA" w:rsidRPr="00D3115F" w:rsidRDefault="005D6DCA" w:rsidP="004E7AC5">
            <w:pPr>
              <w:jc w:val="right"/>
              <w:rPr>
                <w:rFonts w:cs="Arial"/>
                <w:color w:val="000000"/>
                <w:lang w:eastAsia="en-GB"/>
              </w:rPr>
            </w:pPr>
            <w:r w:rsidRPr="00D3115F">
              <w:rPr>
                <w:rFonts w:cs="Arial"/>
                <w:color w:val="000000"/>
                <w:lang w:eastAsia="en-GB"/>
              </w:rPr>
              <w:t>0</w:t>
            </w:r>
          </w:p>
        </w:tc>
        <w:tc>
          <w:tcPr>
            <w:tcW w:w="1120" w:type="dxa"/>
            <w:tcBorders>
              <w:top w:val="nil"/>
              <w:left w:val="nil"/>
              <w:bottom w:val="single" w:sz="8" w:space="0" w:color="000000"/>
              <w:right w:val="single" w:sz="8" w:space="0" w:color="000000"/>
            </w:tcBorders>
            <w:shd w:val="clear" w:color="auto" w:fill="auto"/>
            <w:vAlign w:val="center"/>
            <w:hideMark/>
          </w:tcPr>
          <w:p w:rsidR="005D6DCA" w:rsidRPr="00D3115F" w:rsidRDefault="005D6DCA" w:rsidP="004E7AC5">
            <w:pPr>
              <w:jc w:val="right"/>
              <w:rPr>
                <w:rFonts w:cs="Arial"/>
                <w:color w:val="000000"/>
                <w:lang w:eastAsia="en-GB"/>
              </w:rPr>
            </w:pPr>
            <w:r w:rsidRPr="00D3115F">
              <w:rPr>
                <w:rFonts w:cs="Arial"/>
                <w:color w:val="000000"/>
                <w:lang w:eastAsia="en-GB"/>
              </w:rPr>
              <w:t>0</w:t>
            </w:r>
          </w:p>
        </w:tc>
        <w:tc>
          <w:tcPr>
            <w:tcW w:w="1120" w:type="dxa"/>
            <w:tcBorders>
              <w:top w:val="nil"/>
              <w:left w:val="nil"/>
              <w:bottom w:val="single" w:sz="8" w:space="0" w:color="000000"/>
              <w:right w:val="single" w:sz="8" w:space="0" w:color="000000"/>
            </w:tcBorders>
            <w:shd w:val="clear" w:color="auto" w:fill="auto"/>
            <w:vAlign w:val="center"/>
            <w:hideMark/>
          </w:tcPr>
          <w:p w:rsidR="005D6DCA" w:rsidRPr="00D3115F" w:rsidRDefault="005D6DCA" w:rsidP="004E7AC5">
            <w:pPr>
              <w:jc w:val="right"/>
              <w:rPr>
                <w:rFonts w:cs="Arial"/>
                <w:color w:val="000000"/>
                <w:lang w:eastAsia="en-GB"/>
              </w:rPr>
            </w:pPr>
            <w:r w:rsidRPr="00D3115F">
              <w:rPr>
                <w:rFonts w:cs="Arial"/>
                <w:color w:val="000000"/>
                <w:lang w:eastAsia="en-GB"/>
              </w:rPr>
              <w:t>0</w:t>
            </w:r>
          </w:p>
        </w:tc>
        <w:tc>
          <w:tcPr>
            <w:tcW w:w="1120" w:type="dxa"/>
            <w:tcBorders>
              <w:top w:val="nil"/>
              <w:left w:val="nil"/>
              <w:bottom w:val="single" w:sz="8" w:space="0" w:color="000000"/>
              <w:right w:val="single" w:sz="8" w:space="0" w:color="000000"/>
            </w:tcBorders>
            <w:shd w:val="clear" w:color="000000" w:fill="D9D9D9"/>
            <w:vAlign w:val="center"/>
            <w:hideMark/>
          </w:tcPr>
          <w:p w:rsidR="005D6DCA" w:rsidRPr="00D3115F" w:rsidRDefault="005D6DCA" w:rsidP="005D6DCA">
            <w:pPr>
              <w:jc w:val="right"/>
              <w:rPr>
                <w:rFonts w:cs="Arial"/>
                <w:color w:val="000000"/>
                <w:lang w:eastAsia="en-GB"/>
              </w:rPr>
            </w:pPr>
            <w:r>
              <w:rPr>
                <w:rFonts w:cs="Arial"/>
                <w:color w:val="000000"/>
                <w:lang w:eastAsia="en-GB"/>
              </w:rPr>
              <w:t>1</w:t>
            </w:r>
          </w:p>
        </w:tc>
      </w:tr>
      <w:tr w:rsidR="005D6DCA" w:rsidRPr="00D3115F" w:rsidTr="00D3115F">
        <w:trPr>
          <w:trHeight w:val="315"/>
        </w:trPr>
        <w:tc>
          <w:tcPr>
            <w:tcW w:w="1660" w:type="dxa"/>
            <w:tcBorders>
              <w:top w:val="nil"/>
              <w:left w:val="single" w:sz="8" w:space="0" w:color="000000"/>
              <w:bottom w:val="single" w:sz="8" w:space="0" w:color="000000"/>
              <w:right w:val="single" w:sz="8" w:space="0" w:color="000000"/>
            </w:tcBorders>
            <w:shd w:val="clear" w:color="auto" w:fill="auto"/>
            <w:noWrap/>
            <w:vAlign w:val="center"/>
            <w:hideMark/>
          </w:tcPr>
          <w:p w:rsidR="005D6DCA" w:rsidRPr="00D3115F" w:rsidRDefault="005D6DCA" w:rsidP="00D3115F">
            <w:pPr>
              <w:rPr>
                <w:rFonts w:cs="Arial"/>
                <w:color w:val="000000"/>
                <w:lang w:eastAsia="en-GB"/>
              </w:rPr>
            </w:pPr>
            <w:r w:rsidRPr="00D3115F">
              <w:rPr>
                <w:rFonts w:cs="Arial"/>
                <w:color w:val="000000"/>
                <w:lang w:eastAsia="en-GB"/>
              </w:rPr>
              <w:t>Amber</w:t>
            </w:r>
          </w:p>
        </w:tc>
        <w:tc>
          <w:tcPr>
            <w:tcW w:w="1120" w:type="dxa"/>
            <w:tcBorders>
              <w:top w:val="nil"/>
              <w:left w:val="nil"/>
              <w:bottom w:val="single" w:sz="8" w:space="0" w:color="000000"/>
              <w:right w:val="single" w:sz="8" w:space="0" w:color="000000"/>
            </w:tcBorders>
            <w:shd w:val="clear" w:color="auto" w:fill="auto"/>
            <w:vAlign w:val="center"/>
            <w:hideMark/>
          </w:tcPr>
          <w:p w:rsidR="005D6DCA" w:rsidRPr="00D3115F" w:rsidRDefault="005D6DCA" w:rsidP="004E7AC5">
            <w:pPr>
              <w:jc w:val="right"/>
              <w:rPr>
                <w:rFonts w:cs="Arial"/>
                <w:color w:val="000000"/>
                <w:lang w:eastAsia="en-GB"/>
              </w:rPr>
            </w:pPr>
            <w:r w:rsidRPr="00D3115F">
              <w:rPr>
                <w:rFonts w:cs="Arial"/>
                <w:color w:val="000000"/>
                <w:lang w:eastAsia="en-GB"/>
              </w:rPr>
              <w:t>5</w:t>
            </w:r>
          </w:p>
        </w:tc>
        <w:tc>
          <w:tcPr>
            <w:tcW w:w="1120" w:type="dxa"/>
            <w:tcBorders>
              <w:top w:val="nil"/>
              <w:left w:val="nil"/>
              <w:bottom w:val="single" w:sz="8" w:space="0" w:color="000000"/>
              <w:right w:val="single" w:sz="8" w:space="0" w:color="000000"/>
            </w:tcBorders>
            <w:shd w:val="clear" w:color="auto" w:fill="auto"/>
            <w:vAlign w:val="center"/>
            <w:hideMark/>
          </w:tcPr>
          <w:p w:rsidR="005D6DCA" w:rsidRPr="00D3115F" w:rsidRDefault="005D6DCA" w:rsidP="004E7AC5">
            <w:pPr>
              <w:jc w:val="right"/>
              <w:rPr>
                <w:rFonts w:cs="Arial"/>
                <w:color w:val="000000"/>
                <w:lang w:eastAsia="en-GB"/>
              </w:rPr>
            </w:pPr>
            <w:r w:rsidRPr="00D3115F">
              <w:rPr>
                <w:rFonts w:cs="Arial"/>
                <w:color w:val="000000"/>
                <w:lang w:eastAsia="en-GB"/>
              </w:rPr>
              <w:t>6</w:t>
            </w:r>
          </w:p>
        </w:tc>
        <w:tc>
          <w:tcPr>
            <w:tcW w:w="1120" w:type="dxa"/>
            <w:tcBorders>
              <w:top w:val="nil"/>
              <w:left w:val="nil"/>
              <w:bottom w:val="single" w:sz="8" w:space="0" w:color="000000"/>
              <w:right w:val="single" w:sz="8" w:space="0" w:color="000000"/>
            </w:tcBorders>
            <w:shd w:val="clear" w:color="auto" w:fill="auto"/>
            <w:vAlign w:val="center"/>
            <w:hideMark/>
          </w:tcPr>
          <w:p w:rsidR="005D6DCA" w:rsidRPr="00D3115F" w:rsidRDefault="005D6DCA" w:rsidP="004E7AC5">
            <w:pPr>
              <w:jc w:val="right"/>
              <w:rPr>
                <w:rFonts w:cs="Arial"/>
                <w:color w:val="000000"/>
                <w:lang w:eastAsia="en-GB"/>
              </w:rPr>
            </w:pPr>
            <w:r w:rsidRPr="00D3115F">
              <w:rPr>
                <w:rFonts w:cs="Arial"/>
                <w:color w:val="000000"/>
                <w:lang w:eastAsia="en-GB"/>
              </w:rPr>
              <w:t>5</w:t>
            </w:r>
          </w:p>
        </w:tc>
        <w:tc>
          <w:tcPr>
            <w:tcW w:w="1120" w:type="dxa"/>
            <w:tcBorders>
              <w:top w:val="nil"/>
              <w:left w:val="nil"/>
              <w:bottom w:val="single" w:sz="8" w:space="0" w:color="000000"/>
              <w:right w:val="single" w:sz="8" w:space="0" w:color="000000"/>
            </w:tcBorders>
            <w:shd w:val="clear" w:color="auto" w:fill="auto"/>
            <w:vAlign w:val="center"/>
            <w:hideMark/>
          </w:tcPr>
          <w:p w:rsidR="005D6DCA" w:rsidRPr="00D3115F" w:rsidRDefault="005D6DCA" w:rsidP="004E7AC5">
            <w:pPr>
              <w:jc w:val="right"/>
              <w:rPr>
                <w:rFonts w:cs="Arial"/>
                <w:color w:val="000000"/>
                <w:lang w:eastAsia="en-GB"/>
              </w:rPr>
            </w:pPr>
            <w:r w:rsidRPr="00D3115F">
              <w:rPr>
                <w:rFonts w:cs="Arial"/>
                <w:color w:val="000000"/>
                <w:lang w:eastAsia="en-GB"/>
              </w:rPr>
              <w:t>4</w:t>
            </w:r>
          </w:p>
        </w:tc>
        <w:tc>
          <w:tcPr>
            <w:tcW w:w="1120" w:type="dxa"/>
            <w:tcBorders>
              <w:top w:val="nil"/>
              <w:left w:val="nil"/>
              <w:bottom w:val="single" w:sz="8" w:space="0" w:color="000000"/>
              <w:right w:val="single" w:sz="8" w:space="0" w:color="000000"/>
            </w:tcBorders>
            <w:shd w:val="clear" w:color="000000" w:fill="D9D9D9"/>
            <w:vAlign w:val="center"/>
            <w:hideMark/>
          </w:tcPr>
          <w:p w:rsidR="005D6DCA" w:rsidRPr="00D3115F" w:rsidRDefault="005D6DCA" w:rsidP="00D3115F">
            <w:pPr>
              <w:jc w:val="right"/>
              <w:rPr>
                <w:rFonts w:cs="Arial"/>
                <w:color w:val="000000"/>
                <w:lang w:eastAsia="en-GB"/>
              </w:rPr>
            </w:pPr>
            <w:r>
              <w:rPr>
                <w:rFonts w:cs="Arial"/>
                <w:color w:val="000000"/>
                <w:lang w:eastAsia="en-GB"/>
              </w:rPr>
              <w:t>3</w:t>
            </w:r>
          </w:p>
        </w:tc>
      </w:tr>
      <w:tr w:rsidR="005D6DCA" w:rsidRPr="00D3115F" w:rsidTr="00D3115F">
        <w:trPr>
          <w:trHeight w:val="315"/>
        </w:trPr>
        <w:tc>
          <w:tcPr>
            <w:tcW w:w="1660" w:type="dxa"/>
            <w:tcBorders>
              <w:top w:val="nil"/>
              <w:left w:val="single" w:sz="8" w:space="0" w:color="000000"/>
              <w:bottom w:val="single" w:sz="8" w:space="0" w:color="000000"/>
              <w:right w:val="single" w:sz="8" w:space="0" w:color="000000"/>
            </w:tcBorders>
            <w:shd w:val="clear" w:color="auto" w:fill="auto"/>
            <w:noWrap/>
            <w:vAlign w:val="center"/>
            <w:hideMark/>
          </w:tcPr>
          <w:p w:rsidR="005D6DCA" w:rsidRPr="00D3115F" w:rsidRDefault="005D6DCA" w:rsidP="00D3115F">
            <w:pPr>
              <w:rPr>
                <w:rFonts w:cs="Arial"/>
                <w:color w:val="000000"/>
                <w:lang w:eastAsia="en-GB"/>
              </w:rPr>
            </w:pPr>
            <w:r w:rsidRPr="00D3115F">
              <w:rPr>
                <w:rFonts w:cs="Arial"/>
                <w:color w:val="000000"/>
                <w:lang w:eastAsia="en-GB"/>
              </w:rPr>
              <w:t>Green</w:t>
            </w:r>
          </w:p>
        </w:tc>
        <w:tc>
          <w:tcPr>
            <w:tcW w:w="1120" w:type="dxa"/>
            <w:tcBorders>
              <w:top w:val="nil"/>
              <w:left w:val="nil"/>
              <w:bottom w:val="single" w:sz="8" w:space="0" w:color="000000"/>
              <w:right w:val="single" w:sz="8" w:space="0" w:color="000000"/>
            </w:tcBorders>
            <w:shd w:val="clear" w:color="auto" w:fill="auto"/>
            <w:vAlign w:val="center"/>
            <w:hideMark/>
          </w:tcPr>
          <w:p w:rsidR="005D6DCA" w:rsidRPr="00D3115F" w:rsidRDefault="005D6DCA" w:rsidP="004E7AC5">
            <w:pPr>
              <w:jc w:val="right"/>
              <w:rPr>
                <w:rFonts w:cs="Arial"/>
                <w:color w:val="000000"/>
                <w:lang w:eastAsia="en-GB"/>
              </w:rPr>
            </w:pPr>
            <w:r w:rsidRPr="00D3115F">
              <w:rPr>
                <w:rFonts w:cs="Arial"/>
                <w:color w:val="000000"/>
                <w:lang w:eastAsia="en-GB"/>
              </w:rPr>
              <w:t>6</w:t>
            </w:r>
          </w:p>
        </w:tc>
        <w:tc>
          <w:tcPr>
            <w:tcW w:w="1120" w:type="dxa"/>
            <w:tcBorders>
              <w:top w:val="nil"/>
              <w:left w:val="nil"/>
              <w:bottom w:val="single" w:sz="8" w:space="0" w:color="000000"/>
              <w:right w:val="single" w:sz="8" w:space="0" w:color="000000"/>
            </w:tcBorders>
            <w:shd w:val="clear" w:color="auto" w:fill="auto"/>
            <w:vAlign w:val="center"/>
            <w:hideMark/>
          </w:tcPr>
          <w:p w:rsidR="005D6DCA" w:rsidRPr="00D3115F" w:rsidRDefault="005D6DCA" w:rsidP="004E7AC5">
            <w:pPr>
              <w:jc w:val="right"/>
              <w:rPr>
                <w:rFonts w:cs="Arial"/>
                <w:color w:val="000000"/>
                <w:lang w:eastAsia="en-GB"/>
              </w:rPr>
            </w:pPr>
            <w:r w:rsidRPr="00D3115F">
              <w:rPr>
                <w:rFonts w:cs="Arial"/>
                <w:color w:val="000000"/>
                <w:lang w:eastAsia="en-GB"/>
              </w:rPr>
              <w:t>5</w:t>
            </w:r>
          </w:p>
        </w:tc>
        <w:tc>
          <w:tcPr>
            <w:tcW w:w="1120" w:type="dxa"/>
            <w:tcBorders>
              <w:top w:val="nil"/>
              <w:left w:val="nil"/>
              <w:bottom w:val="single" w:sz="8" w:space="0" w:color="000000"/>
              <w:right w:val="single" w:sz="8" w:space="0" w:color="000000"/>
            </w:tcBorders>
            <w:shd w:val="clear" w:color="auto" w:fill="auto"/>
            <w:vAlign w:val="center"/>
            <w:hideMark/>
          </w:tcPr>
          <w:p w:rsidR="005D6DCA" w:rsidRPr="00D3115F" w:rsidRDefault="005D6DCA" w:rsidP="004E7AC5">
            <w:pPr>
              <w:jc w:val="right"/>
              <w:rPr>
                <w:rFonts w:cs="Arial"/>
                <w:color w:val="000000"/>
                <w:lang w:eastAsia="en-GB"/>
              </w:rPr>
            </w:pPr>
            <w:r w:rsidRPr="00D3115F">
              <w:rPr>
                <w:rFonts w:cs="Arial"/>
                <w:color w:val="000000"/>
                <w:lang w:eastAsia="en-GB"/>
              </w:rPr>
              <w:t>6</w:t>
            </w:r>
          </w:p>
        </w:tc>
        <w:tc>
          <w:tcPr>
            <w:tcW w:w="1120" w:type="dxa"/>
            <w:tcBorders>
              <w:top w:val="nil"/>
              <w:left w:val="nil"/>
              <w:bottom w:val="single" w:sz="8" w:space="0" w:color="000000"/>
              <w:right w:val="single" w:sz="8" w:space="0" w:color="000000"/>
            </w:tcBorders>
            <w:shd w:val="clear" w:color="auto" w:fill="auto"/>
            <w:vAlign w:val="center"/>
            <w:hideMark/>
          </w:tcPr>
          <w:p w:rsidR="005D6DCA" w:rsidRPr="00D3115F" w:rsidRDefault="005D6DCA" w:rsidP="004E7AC5">
            <w:pPr>
              <w:jc w:val="right"/>
              <w:rPr>
                <w:rFonts w:cs="Arial"/>
                <w:color w:val="000000"/>
                <w:lang w:eastAsia="en-GB"/>
              </w:rPr>
            </w:pPr>
            <w:r w:rsidRPr="00D3115F">
              <w:rPr>
                <w:rFonts w:cs="Arial"/>
                <w:color w:val="000000"/>
                <w:lang w:eastAsia="en-GB"/>
              </w:rPr>
              <w:t>2</w:t>
            </w:r>
          </w:p>
        </w:tc>
        <w:tc>
          <w:tcPr>
            <w:tcW w:w="1120" w:type="dxa"/>
            <w:tcBorders>
              <w:top w:val="nil"/>
              <w:left w:val="nil"/>
              <w:bottom w:val="single" w:sz="8" w:space="0" w:color="000000"/>
              <w:right w:val="single" w:sz="8" w:space="0" w:color="000000"/>
            </w:tcBorders>
            <w:shd w:val="clear" w:color="000000" w:fill="D9D9D9"/>
            <w:vAlign w:val="center"/>
            <w:hideMark/>
          </w:tcPr>
          <w:p w:rsidR="005D6DCA" w:rsidRPr="00D3115F" w:rsidRDefault="005D6DCA" w:rsidP="00D3115F">
            <w:pPr>
              <w:jc w:val="right"/>
              <w:rPr>
                <w:rFonts w:cs="Arial"/>
                <w:color w:val="000000"/>
                <w:lang w:eastAsia="en-GB"/>
              </w:rPr>
            </w:pPr>
            <w:r w:rsidRPr="00D3115F">
              <w:rPr>
                <w:rFonts w:cs="Arial"/>
                <w:color w:val="000000"/>
                <w:lang w:eastAsia="en-GB"/>
              </w:rPr>
              <w:t>2</w:t>
            </w:r>
          </w:p>
        </w:tc>
      </w:tr>
      <w:tr w:rsidR="005D6DCA" w:rsidRPr="00D3115F" w:rsidTr="00D3115F">
        <w:trPr>
          <w:trHeight w:val="315"/>
        </w:trPr>
        <w:tc>
          <w:tcPr>
            <w:tcW w:w="1660" w:type="dxa"/>
            <w:tcBorders>
              <w:top w:val="nil"/>
              <w:left w:val="single" w:sz="8" w:space="0" w:color="000000"/>
              <w:bottom w:val="single" w:sz="8" w:space="0" w:color="000000"/>
              <w:right w:val="single" w:sz="8" w:space="0" w:color="000000"/>
            </w:tcBorders>
            <w:shd w:val="clear" w:color="auto" w:fill="auto"/>
            <w:noWrap/>
            <w:vAlign w:val="center"/>
            <w:hideMark/>
          </w:tcPr>
          <w:p w:rsidR="005D6DCA" w:rsidRPr="00D3115F" w:rsidRDefault="005D6DCA" w:rsidP="00D3115F">
            <w:pPr>
              <w:rPr>
                <w:rFonts w:cs="Arial"/>
                <w:color w:val="000000"/>
                <w:lang w:eastAsia="en-GB"/>
              </w:rPr>
            </w:pPr>
            <w:r w:rsidRPr="00D3115F">
              <w:rPr>
                <w:rFonts w:cs="Arial"/>
                <w:color w:val="000000"/>
                <w:lang w:eastAsia="en-GB"/>
              </w:rPr>
              <w:t> </w:t>
            </w:r>
          </w:p>
        </w:tc>
        <w:tc>
          <w:tcPr>
            <w:tcW w:w="1120" w:type="dxa"/>
            <w:tcBorders>
              <w:top w:val="nil"/>
              <w:left w:val="nil"/>
              <w:bottom w:val="single" w:sz="8" w:space="0" w:color="000000"/>
              <w:right w:val="single" w:sz="8" w:space="0" w:color="000000"/>
            </w:tcBorders>
            <w:shd w:val="clear" w:color="auto" w:fill="auto"/>
            <w:vAlign w:val="center"/>
            <w:hideMark/>
          </w:tcPr>
          <w:p w:rsidR="005D6DCA" w:rsidRPr="00D3115F" w:rsidRDefault="005D6DCA" w:rsidP="004E7AC5">
            <w:pPr>
              <w:jc w:val="right"/>
              <w:rPr>
                <w:rFonts w:cs="Arial"/>
                <w:color w:val="000000"/>
                <w:lang w:eastAsia="en-GB"/>
              </w:rPr>
            </w:pPr>
            <w:r w:rsidRPr="00D3115F">
              <w:rPr>
                <w:rFonts w:cs="Arial"/>
                <w:color w:val="000000"/>
                <w:lang w:eastAsia="en-GB"/>
              </w:rPr>
              <w:t> </w:t>
            </w:r>
          </w:p>
        </w:tc>
        <w:tc>
          <w:tcPr>
            <w:tcW w:w="1120" w:type="dxa"/>
            <w:tcBorders>
              <w:top w:val="nil"/>
              <w:left w:val="nil"/>
              <w:bottom w:val="single" w:sz="8" w:space="0" w:color="000000"/>
              <w:right w:val="single" w:sz="8" w:space="0" w:color="000000"/>
            </w:tcBorders>
            <w:shd w:val="clear" w:color="auto" w:fill="auto"/>
            <w:vAlign w:val="center"/>
            <w:hideMark/>
          </w:tcPr>
          <w:p w:rsidR="005D6DCA" w:rsidRPr="00D3115F" w:rsidRDefault="005D6DCA" w:rsidP="004E7AC5">
            <w:pPr>
              <w:jc w:val="right"/>
              <w:rPr>
                <w:rFonts w:cs="Arial"/>
                <w:color w:val="000000"/>
                <w:lang w:eastAsia="en-GB"/>
              </w:rPr>
            </w:pPr>
            <w:r w:rsidRPr="00D3115F">
              <w:rPr>
                <w:rFonts w:cs="Arial"/>
                <w:color w:val="000000"/>
                <w:lang w:eastAsia="en-GB"/>
              </w:rPr>
              <w:t> </w:t>
            </w:r>
          </w:p>
        </w:tc>
        <w:tc>
          <w:tcPr>
            <w:tcW w:w="1120" w:type="dxa"/>
            <w:tcBorders>
              <w:top w:val="nil"/>
              <w:left w:val="nil"/>
              <w:bottom w:val="single" w:sz="8" w:space="0" w:color="000000"/>
              <w:right w:val="single" w:sz="8" w:space="0" w:color="000000"/>
            </w:tcBorders>
            <w:shd w:val="clear" w:color="auto" w:fill="auto"/>
            <w:vAlign w:val="center"/>
            <w:hideMark/>
          </w:tcPr>
          <w:p w:rsidR="005D6DCA" w:rsidRPr="00D3115F" w:rsidRDefault="005D6DCA" w:rsidP="004E7AC5">
            <w:pPr>
              <w:jc w:val="right"/>
              <w:rPr>
                <w:rFonts w:cs="Arial"/>
                <w:color w:val="000000"/>
                <w:lang w:eastAsia="en-GB"/>
              </w:rPr>
            </w:pPr>
            <w:r w:rsidRPr="00D3115F">
              <w:rPr>
                <w:rFonts w:cs="Arial"/>
                <w:color w:val="000000"/>
                <w:lang w:eastAsia="en-GB"/>
              </w:rPr>
              <w:t> </w:t>
            </w:r>
          </w:p>
        </w:tc>
        <w:tc>
          <w:tcPr>
            <w:tcW w:w="1120" w:type="dxa"/>
            <w:tcBorders>
              <w:top w:val="nil"/>
              <w:left w:val="nil"/>
              <w:bottom w:val="single" w:sz="8" w:space="0" w:color="000000"/>
              <w:right w:val="single" w:sz="8" w:space="0" w:color="000000"/>
            </w:tcBorders>
            <w:shd w:val="clear" w:color="auto" w:fill="auto"/>
            <w:vAlign w:val="center"/>
            <w:hideMark/>
          </w:tcPr>
          <w:p w:rsidR="005D6DCA" w:rsidRPr="00D3115F" w:rsidRDefault="005D6DCA" w:rsidP="004E7AC5">
            <w:pPr>
              <w:jc w:val="right"/>
              <w:rPr>
                <w:rFonts w:cs="Arial"/>
                <w:color w:val="000000"/>
                <w:lang w:eastAsia="en-GB"/>
              </w:rPr>
            </w:pPr>
            <w:r w:rsidRPr="00D3115F">
              <w:rPr>
                <w:rFonts w:cs="Arial"/>
                <w:color w:val="000000"/>
                <w:lang w:eastAsia="en-GB"/>
              </w:rPr>
              <w:t> </w:t>
            </w:r>
          </w:p>
        </w:tc>
        <w:tc>
          <w:tcPr>
            <w:tcW w:w="1120" w:type="dxa"/>
            <w:tcBorders>
              <w:top w:val="nil"/>
              <w:left w:val="nil"/>
              <w:bottom w:val="single" w:sz="8" w:space="0" w:color="000000"/>
              <w:right w:val="single" w:sz="8" w:space="0" w:color="000000"/>
            </w:tcBorders>
            <w:shd w:val="clear" w:color="000000" w:fill="D9D9D9"/>
            <w:vAlign w:val="center"/>
            <w:hideMark/>
          </w:tcPr>
          <w:p w:rsidR="005D6DCA" w:rsidRPr="00D3115F" w:rsidRDefault="005D6DCA" w:rsidP="00D3115F">
            <w:pPr>
              <w:jc w:val="right"/>
              <w:rPr>
                <w:rFonts w:cs="Arial"/>
                <w:color w:val="000000"/>
                <w:lang w:eastAsia="en-GB"/>
              </w:rPr>
            </w:pPr>
            <w:r w:rsidRPr="00D3115F">
              <w:rPr>
                <w:rFonts w:cs="Arial"/>
                <w:color w:val="000000"/>
                <w:lang w:eastAsia="en-GB"/>
              </w:rPr>
              <w:t> </w:t>
            </w:r>
          </w:p>
        </w:tc>
      </w:tr>
      <w:tr w:rsidR="005D6DCA" w:rsidRPr="00D3115F" w:rsidTr="00D3115F">
        <w:trPr>
          <w:trHeight w:val="330"/>
        </w:trPr>
        <w:tc>
          <w:tcPr>
            <w:tcW w:w="1660" w:type="dxa"/>
            <w:tcBorders>
              <w:top w:val="nil"/>
              <w:left w:val="single" w:sz="8" w:space="0" w:color="000000"/>
              <w:bottom w:val="single" w:sz="8" w:space="0" w:color="000000"/>
              <w:right w:val="single" w:sz="8" w:space="0" w:color="000000"/>
            </w:tcBorders>
            <w:shd w:val="clear" w:color="000000" w:fill="D9D9D9"/>
            <w:noWrap/>
            <w:vAlign w:val="center"/>
            <w:hideMark/>
          </w:tcPr>
          <w:p w:rsidR="005D6DCA" w:rsidRPr="00D3115F" w:rsidRDefault="005D6DCA" w:rsidP="00D3115F">
            <w:pPr>
              <w:rPr>
                <w:rFonts w:cs="Arial"/>
                <w:b/>
                <w:bCs/>
                <w:color w:val="000000"/>
                <w:lang w:eastAsia="en-GB"/>
              </w:rPr>
            </w:pPr>
            <w:r w:rsidRPr="00D3115F">
              <w:rPr>
                <w:rFonts w:cs="Arial"/>
                <w:b/>
                <w:bCs/>
                <w:color w:val="000000"/>
                <w:lang w:eastAsia="en-GB"/>
              </w:rPr>
              <w:t>Total risks</w:t>
            </w:r>
          </w:p>
        </w:tc>
        <w:tc>
          <w:tcPr>
            <w:tcW w:w="1120" w:type="dxa"/>
            <w:tcBorders>
              <w:top w:val="nil"/>
              <w:left w:val="nil"/>
              <w:bottom w:val="single" w:sz="8" w:space="0" w:color="000000"/>
              <w:right w:val="single" w:sz="8" w:space="0" w:color="000000"/>
            </w:tcBorders>
            <w:shd w:val="clear" w:color="000000" w:fill="D9D9D9"/>
            <w:vAlign w:val="center"/>
            <w:hideMark/>
          </w:tcPr>
          <w:p w:rsidR="005D6DCA" w:rsidRPr="00D3115F" w:rsidRDefault="005D6DCA" w:rsidP="004E7AC5">
            <w:pPr>
              <w:jc w:val="right"/>
              <w:rPr>
                <w:rFonts w:cs="Arial"/>
                <w:b/>
                <w:bCs/>
                <w:color w:val="000000"/>
                <w:lang w:eastAsia="en-GB"/>
              </w:rPr>
            </w:pPr>
            <w:r w:rsidRPr="00D3115F">
              <w:rPr>
                <w:rFonts w:cs="Arial"/>
                <w:b/>
                <w:bCs/>
                <w:color w:val="000000"/>
                <w:lang w:eastAsia="en-GB"/>
              </w:rPr>
              <w:t>11</w:t>
            </w:r>
          </w:p>
        </w:tc>
        <w:tc>
          <w:tcPr>
            <w:tcW w:w="1120" w:type="dxa"/>
            <w:tcBorders>
              <w:top w:val="nil"/>
              <w:left w:val="nil"/>
              <w:bottom w:val="single" w:sz="8" w:space="0" w:color="000000"/>
              <w:right w:val="single" w:sz="8" w:space="0" w:color="000000"/>
            </w:tcBorders>
            <w:shd w:val="clear" w:color="000000" w:fill="D9D9D9"/>
            <w:vAlign w:val="center"/>
            <w:hideMark/>
          </w:tcPr>
          <w:p w:rsidR="005D6DCA" w:rsidRPr="00D3115F" w:rsidRDefault="005D6DCA" w:rsidP="004E7AC5">
            <w:pPr>
              <w:jc w:val="right"/>
              <w:rPr>
                <w:rFonts w:cs="Arial"/>
                <w:b/>
                <w:bCs/>
                <w:color w:val="000000"/>
                <w:lang w:eastAsia="en-GB"/>
              </w:rPr>
            </w:pPr>
            <w:r w:rsidRPr="00D3115F">
              <w:rPr>
                <w:rFonts w:cs="Arial"/>
                <w:b/>
                <w:bCs/>
                <w:color w:val="000000"/>
                <w:lang w:eastAsia="en-GB"/>
              </w:rPr>
              <w:t>11</w:t>
            </w:r>
          </w:p>
        </w:tc>
        <w:tc>
          <w:tcPr>
            <w:tcW w:w="1120" w:type="dxa"/>
            <w:tcBorders>
              <w:top w:val="nil"/>
              <w:left w:val="nil"/>
              <w:bottom w:val="single" w:sz="8" w:space="0" w:color="000000"/>
              <w:right w:val="single" w:sz="8" w:space="0" w:color="000000"/>
            </w:tcBorders>
            <w:shd w:val="clear" w:color="000000" w:fill="D9D9D9"/>
            <w:vAlign w:val="center"/>
            <w:hideMark/>
          </w:tcPr>
          <w:p w:rsidR="005D6DCA" w:rsidRPr="00D3115F" w:rsidRDefault="005D6DCA" w:rsidP="004E7AC5">
            <w:pPr>
              <w:jc w:val="right"/>
              <w:rPr>
                <w:rFonts w:cs="Arial"/>
                <w:b/>
                <w:bCs/>
                <w:color w:val="000000"/>
                <w:lang w:eastAsia="en-GB"/>
              </w:rPr>
            </w:pPr>
            <w:r w:rsidRPr="00D3115F">
              <w:rPr>
                <w:rFonts w:cs="Arial"/>
                <w:b/>
                <w:bCs/>
                <w:color w:val="000000"/>
                <w:lang w:eastAsia="en-GB"/>
              </w:rPr>
              <w:t>11</w:t>
            </w:r>
          </w:p>
        </w:tc>
        <w:tc>
          <w:tcPr>
            <w:tcW w:w="1120" w:type="dxa"/>
            <w:tcBorders>
              <w:top w:val="nil"/>
              <w:left w:val="nil"/>
              <w:bottom w:val="single" w:sz="8" w:space="0" w:color="000000"/>
              <w:right w:val="single" w:sz="8" w:space="0" w:color="000000"/>
            </w:tcBorders>
            <w:shd w:val="clear" w:color="000000" w:fill="D9D9D9"/>
            <w:vAlign w:val="center"/>
            <w:hideMark/>
          </w:tcPr>
          <w:p w:rsidR="005D6DCA" w:rsidRPr="00D3115F" w:rsidRDefault="005D6DCA" w:rsidP="004E7AC5">
            <w:pPr>
              <w:jc w:val="right"/>
              <w:rPr>
                <w:rFonts w:cs="Arial"/>
                <w:b/>
                <w:bCs/>
                <w:color w:val="000000"/>
                <w:lang w:eastAsia="en-GB"/>
              </w:rPr>
            </w:pPr>
            <w:r w:rsidRPr="00D3115F">
              <w:rPr>
                <w:rFonts w:cs="Arial"/>
                <w:b/>
                <w:bCs/>
                <w:color w:val="000000"/>
                <w:lang w:eastAsia="en-GB"/>
              </w:rPr>
              <w:t>6</w:t>
            </w:r>
          </w:p>
        </w:tc>
        <w:tc>
          <w:tcPr>
            <w:tcW w:w="1120" w:type="dxa"/>
            <w:tcBorders>
              <w:top w:val="nil"/>
              <w:left w:val="nil"/>
              <w:bottom w:val="single" w:sz="8" w:space="0" w:color="000000"/>
              <w:right w:val="single" w:sz="8" w:space="0" w:color="000000"/>
            </w:tcBorders>
            <w:shd w:val="clear" w:color="000000" w:fill="D9D9D9"/>
            <w:vAlign w:val="center"/>
            <w:hideMark/>
          </w:tcPr>
          <w:p w:rsidR="005D6DCA" w:rsidRPr="00D3115F" w:rsidRDefault="005D6DCA" w:rsidP="00D3115F">
            <w:pPr>
              <w:jc w:val="right"/>
              <w:rPr>
                <w:rFonts w:cs="Arial"/>
                <w:b/>
                <w:bCs/>
                <w:color w:val="000000"/>
                <w:lang w:eastAsia="en-GB"/>
              </w:rPr>
            </w:pPr>
            <w:r w:rsidRPr="00D3115F">
              <w:rPr>
                <w:rFonts w:cs="Arial"/>
                <w:b/>
                <w:bCs/>
                <w:color w:val="000000"/>
                <w:lang w:eastAsia="en-GB"/>
              </w:rPr>
              <w:t>6</w:t>
            </w:r>
          </w:p>
        </w:tc>
      </w:tr>
    </w:tbl>
    <w:p w:rsidR="00D3115F" w:rsidRDefault="00D3115F" w:rsidP="000116FF">
      <w:pPr>
        <w:ind w:left="426"/>
        <w:rPr>
          <w:rFonts w:cs="Arial"/>
        </w:rPr>
      </w:pPr>
    </w:p>
    <w:p w:rsidR="00D3115F" w:rsidRDefault="00D3115F" w:rsidP="00A32A7B">
      <w:pPr>
        <w:numPr>
          <w:ilvl w:val="0"/>
          <w:numId w:val="1"/>
        </w:numPr>
        <w:ind w:left="426" w:hanging="426"/>
        <w:rPr>
          <w:rFonts w:cs="Arial"/>
        </w:rPr>
      </w:pPr>
      <w:r>
        <w:rPr>
          <w:rFonts w:cs="Arial"/>
        </w:rPr>
        <w:t xml:space="preserve">There </w:t>
      </w:r>
      <w:r w:rsidR="005D6DCA">
        <w:rPr>
          <w:rFonts w:cs="Arial"/>
        </w:rPr>
        <w:t>w</w:t>
      </w:r>
      <w:r>
        <w:rPr>
          <w:rFonts w:cs="Arial"/>
        </w:rPr>
        <w:t xml:space="preserve">as a full desktop review of all of the corporate risks undertaken by Directors and Heads of Service </w:t>
      </w:r>
      <w:r w:rsidR="005D6DCA">
        <w:rPr>
          <w:rFonts w:cs="Arial"/>
        </w:rPr>
        <w:t xml:space="preserve">undertaken at the beginning of the year </w:t>
      </w:r>
      <w:r>
        <w:rPr>
          <w:rFonts w:cs="Arial"/>
        </w:rPr>
        <w:t xml:space="preserve">which resulted in </w:t>
      </w:r>
      <w:r w:rsidR="00AC6D86">
        <w:rPr>
          <w:rFonts w:cs="Arial"/>
        </w:rPr>
        <w:t>the number of risks reducing from 11 to 6</w:t>
      </w:r>
      <w:r>
        <w:rPr>
          <w:rFonts w:cs="Arial"/>
        </w:rPr>
        <w:t>.</w:t>
      </w:r>
    </w:p>
    <w:p w:rsidR="00D3115F" w:rsidRDefault="00D3115F" w:rsidP="00D3115F">
      <w:pPr>
        <w:ind w:left="426"/>
        <w:rPr>
          <w:rFonts w:cs="Arial"/>
        </w:rPr>
      </w:pPr>
    </w:p>
    <w:p w:rsidR="000C7E80" w:rsidRDefault="000C7E80" w:rsidP="00A32A7B">
      <w:pPr>
        <w:numPr>
          <w:ilvl w:val="0"/>
          <w:numId w:val="1"/>
        </w:numPr>
        <w:ind w:left="426" w:hanging="426"/>
        <w:rPr>
          <w:rFonts w:cs="Arial"/>
        </w:rPr>
      </w:pPr>
      <w:r>
        <w:rPr>
          <w:rFonts w:cs="Arial"/>
        </w:rPr>
        <w:t xml:space="preserve">The </w:t>
      </w:r>
      <w:r w:rsidRPr="000116FF">
        <w:rPr>
          <w:rFonts w:cs="Arial"/>
        </w:rPr>
        <w:t xml:space="preserve">Chancellor’s July Budget Statement included a number of proposals which have significant ramifications for the Council’s Medium Term Financial Plan, and in particular the Housing Revenue Account, which under current proposals is projected to have to find savings of </w:t>
      </w:r>
      <w:r>
        <w:rPr>
          <w:rFonts w:cs="Arial"/>
        </w:rPr>
        <w:t>around</w:t>
      </w:r>
      <w:r w:rsidRPr="000116FF">
        <w:rPr>
          <w:rFonts w:cs="Arial"/>
        </w:rPr>
        <w:t xml:space="preserve"> £3</w:t>
      </w:r>
      <w:r w:rsidR="00200CC5">
        <w:rPr>
          <w:rFonts w:cs="Arial"/>
        </w:rPr>
        <w:t>4</w:t>
      </w:r>
      <w:r w:rsidRPr="000116FF">
        <w:rPr>
          <w:rFonts w:cs="Arial"/>
        </w:rPr>
        <w:t xml:space="preserve"> million over the next 4 years. </w:t>
      </w:r>
      <w:r>
        <w:rPr>
          <w:rFonts w:cs="Arial"/>
        </w:rPr>
        <w:t xml:space="preserve"> </w:t>
      </w:r>
      <w:r w:rsidRPr="000116FF">
        <w:rPr>
          <w:rFonts w:cs="Arial"/>
        </w:rPr>
        <w:t xml:space="preserve">Changes to the HRA Business Plan to mitigate the pressures </w:t>
      </w:r>
      <w:r w:rsidR="005D6DCA">
        <w:rPr>
          <w:rFonts w:cs="Arial"/>
        </w:rPr>
        <w:t>are</w:t>
      </w:r>
      <w:r w:rsidRPr="000116FF">
        <w:rPr>
          <w:rFonts w:cs="Arial"/>
        </w:rPr>
        <w:t xml:space="preserve"> be</w:t>
      </w:r>
      <w:r w:rsidR="005D6DCA">
        <w:rPr>
          <w:rFonts w:cs="Arial"/>
        </w:rPr>
        <w:t>ing</w:t>
      </w:r>
      <w:r w:rsidRPr="000116FF">
        <w:rPr>
          <w:rFonts w:cs="Arial"/>
        </w:rPr>
        <w:t xml:space="preserve"> </w:t>
      </w:r>
      <w:r>
        <w:rPr>
          <w:rFonts w:cs="Arial"/>
        </w:rPr>
        <w:t>reviewed</w:t>
      </w:r>
      <w:r w:rsidRPr="000116FF">
        <w:rPr>
          <w:rFonts w:cs="Arial"/>
        </w:rPr>
        <w:t xml:space="preserve"> </w:t>
      </w:r>
      <w:r>
        <w:rPr>
          <w:rFonts w:cs="Arial"/>
        </w:rPr>
        <w:t xml:space="preserve">as part of the annual </w:t>
      </w:r>
      <w:r w:rsidRPr="000116FF">
        <w:rPr>
          <w:rFonts w:cs="Arial"/>
        </w:rPr>
        <w:t xml:space="preserve">budget </w:t>
      </w:r>
      <w:r>
        <w:rPr>
          <w:rFonts w:cs="Arial"/>
        </w:rPr>
        <w:t>setting process.</w:t>
      </w:r>
    </w:p>
    <w:p w:rsidR="000C7E80" w:rsidRDefault="000C7E80" w:rsidP="000C7E80">
      <w:pPr>
        <w:pStyle w:val="ListParagraph"/>
        <w:rPr>
          <w:rFonts w:cs="Arial"/>
        </w:rPr>
      </w:pPr>
    </w:p>
    <w:p w:rsidR="000C7E80" w:rsidRDefault="000C7E80" w:rsidP="00A32A7B">
      <w:pPr>
        <w:numPr>
          <w:ilvl w:val="0"/>
          <w:numId w:val="1"/>
        </w:numPr>
        <w:ind w:left="426" w:hanging="426"/>
        <w:rPr>
          <w:rFonts w:cs="Arial"/>
        </w:rPr>
      </w:pPr>
      <w:r>
        <w:rPr>
          <w:rFonts w:cs="Arial"/>
        </w:rPr>
        <w:t xml:space="preserve">In the short term, to help mitigate the pressure and enable all options to be considered a temporary moratorium has been imposed on all non-essential </w:t>
      </w:r>
      <w:r w:rsidR="001312CC">
        <w:rPr>
          <w:rFonts w:cs="Arial"/>
        </w:rPr>
        <w:t>projects</w:t>
      </w:r>
      <w:r>
        <w:rPr>
          <w:rFonts w:cs="Arial"/>
        </w:rPr>
        <w:t xml:space="preserve"> that are not already contractually committed.  This will inevitably lead to slippage on some schemes and the reappraisal of others</w:t>
      </w:r>
    </w:p>
    <w:p w:rsidR="007D13DA" w:rsidRDefault="007D13DA" w:rsidP="00AC6D86">
      <w:pPr>
        <w:pStyle w:val="ListParagraph"/>
        <w:rPr>
          <w:rFonts w:cs="Arial"/>
        </w:rPr>
      </w:pPr>
    </w:p>
    <w:p w:rsidR="00966BBE" w:rsidRPr="00A32A7B" w:rsidRDefault="0078409C" w:rsidP="00966BBE">
      <w:pPr>
        <w:rPr>
          <w:rFonts w:cs="Arial"/>
          <w:b/>
        </w:rPr>
      </w:pPr>
      <w:r w:rsidRPr="0078409C">
        <w:rPr>
          <w:rFonts w:cs="Arial"/>
          <w:b/>
        </w:rPr>
        <w:t xml:space="preserve">Quarter </w:t>
      </w:r>
      <w:r w:rsidR="005D6DCA">
        <w:rPr>
          <w:rFonts w:cs="Arial"/>
          <w:b/>
        </w:rPr>
        <w:t>2</w:t>
      </w:r>
      <w:r w:rsidRPr="0078409C">
        <w:rPr>
          <w:rFonts w:cs="Arial"/>
          <w:b/>
        </w:rPr>
        <w:t xml:space="preserve"> Service Risk Register</w:t>
      </w:r>
      <w:r w:rsidR="005D6DCA">
        <w:rPr>
          <w:rFonts w:cs="Arial"/>
          <w:b/>
        </w:rPr>
        <w:t>s</w:t>
      </w:r>
    </w:p>
    <w:p w:rsidR="00966BBE" w:rsidRPr="00A32A7B" w:rsidRDefault="00966BBE" w:rsidP="00966BBE">
      <w:pPr>
        <w:rPr>
          <w:rFonts w:cs="Arial"/>
        </w:rPr>
      </w:pPr>
    </w:p>
    <w:p w:rsidR="006D7D0D" w:rsidRDefault="006D7D0D" w:rsidP="00A32A7B">
      <w:pPr>
        <w:numPr>
          <w:ilvl w:val="0"/>
          <w:numId w:val="1"/>
        </w:numPr>
        <w:ind w:left="426" w:hanging="426"/>
        <w:rPr>
          <w:rFonts w:cs="Arial"/>
        </w:rPr>
      </w:pPr>
      <w:r>
        <w:rPr>
          <w:rFonts w:cs="Arial"/>
        </w:rPr>
        <w:t xml:space="preserve">Each year as part of the service planning process, all service risks are reviewed, those no longer relevant are deleted, and any new ones are added.  In </w:t>
      </w:r>
      <w:r w:rsidR="005578C1">
        <w:rPr>
          <w:rFonts w:cs="Arial"/>
        </w:rPr>
        <w:t>quarter 1 of</w:t>
      </w:r>
      <w:r>
        <w:rPr>
          <w:rFonts w:cs="Arial"/>
        </w:rPr>
        <w:t xml:space="preserve"> 2015/16, the management of Council services was restructure</w:t>
      </w:r>
      <w:r w:rsidR="00DD2A1D">
        <w:rPr>
          <w:rFonts w:cs="Arial"/>
        </w:rPr>
        <w:t>d</w:t>
      </w:r>
      <w:r>
        <w:rPr>
          <w:rFonts w:cs="Arial"/>
        </w:rPr>
        <w:t xml:space="preserve"> and risks have been moved between services areas </w:t>
      </w:r>
      <w:r w:rsidR="00993A4E">
        <w:rPr>
          <w:rFonts w:cs="Arial"/>
        </w:rPr>
        <w:t>and reassessed</w:t>
      </w:r>
      <w:r>
        <w:rPr>
          <w:rFonts w:cs="Arial"/>
        </w:rPr>
        <w:t xml:space="preserve">.  These refreshed </w:t>
      </w:r>
      <w:r w:rsidR="00DD2A1D">
        <w:rPr>
          <w:rFonts w:cs="Arial"/>
        </w:rPr>
        <w:t>S</w:t>
      </w:r>
      <w:r>
        <w:rPr>
          <w:rFonts w:cs="Arial"/>
        </w:rPr>
        <w:t xml:space="preserve">ervice </w:t>
      </w:r>
      <w:r w:rsidR="00DD2A1D">
        <w:rPr>
          <w:rFonts w:cs="Arial"/>
        </w:rPr>
        <w:t>R</w:t>
      </w:r>
      <w:r>
        <w:rPr>
          <w:rFonts w:cs="Arial"/>
        </w:rPr>
        <w:t xml:space="preserve">isk </w:t>
      </w:r>
      <w:r w:rsidR="00DD2A1D">
        <w:rPr>
          <w:rFonts w:cs="Arial"/>
        </w:rPr>
        <w:t>R</w:t>
      </w:r>
      <w:r>
        <w:rPr>
          <w:rFonts w:cs="Arial"/>
        </w:rPr>
        <w:t xml:space="preserve">egisters </w:t>
      </w:r>
      <w:r w:rsidR="005578C1">
        <w:rPr>
          <w:rFonts w:cs="Arial"/>
        </w:rPr>
        <w:t>will be</w:t>
      </w:r>
      <w:r>
        <w:rPr>
          <w:rFonts w:cs="Arial"/>
        </w:rPr>
        <w:t xml:space="preserve"> used for monitoring purposes </w:t>
      </w:r>
      <w:r w:rsidR="005578C1">
        <w:rPr>
          <w:rFonts w:cs="Arial"/>
        </w:rPr>
        <w:t>for the remainder of</w:t>
      </w:r>
      <w:r>
        <w:rPr>
          <w:rFonts w:cs="Arial"/>
        </w:rPr>
        <w:t xml:space="preserve"> the year.</w:t>
      </w:r>
    </w:p>
    <w:p w:rsidR="006D7D0D" w:rsidRDefault="006D7D0D" w:rsidP="006D7D0D">
      <w:pPr>
        <w:ind w:left="426"/>
        <w:rPr>
          <w:rFonts w:cs="Arial"/>
        </w:rPr>
      </w:pPr>
    </w:p>
    <w:p w:rsidR="00966BBE" w:rsidRPr="007F6E5E" w:rsidRDefault="0078409C" w:rsidP="00A32A7B">
      <w:pPr>
        <w:numPr>
          <w:ilvl w:val="0"/>
          <w:numId w:val="1"/>
        </w:numPr>
        <w:ind w:left="426" w:hanging="426"/>
        <w:rPr>
          <w:rFonts w:cs="Arial"/>
        </w:rPr>
      </w:pPr>
      <w:r w:rsidRPr="0078409C">
        <w:rPr>
          <w:rFonts w:cs="Arial"/>
        </w:rPr>
        <w:t xml:space="preserve">The table below shows the number of </w:t>
      </w:r>
      <w:r w:rsidR="005578C1">
        <w:rPr>
          <w:rFonts w:cs="Arial"/>
        </w:rPr>
        <w:t xml:space="preserve">service </w:t>
      </w:r>
      <w:r w:rsidRPr="0078409C">
        <w:rPr>
          <w:rFonts w:cs="Arial"/>
        </w:rPr>
        <w:t xml:space="preserve">risks </w:t>
      </w:r>
      <w:r w:rsidR="005578C1">
        <w:rPr>
          <w:rFonts w:cs="Arial"/>
        </w:rPr>
        <w:t>in</w:t>
      </w:r>
      <w:r w:rsidRPr="0078409C">
        <w:rPr>
          <w:rFonts w:cs="Arial"/>
        </w:rPr>
        <w:t xml:space="preserve"> Q</w:t>
      </w:r>
      <w:r w:rsidR="005D6DCA">
        <w:rPr>
          <w:rFonts w:cs="Arial"/>
        </w:rPr>
        <w:t>2</w:t>
      </w:r>
      <w:r w:rsidRPr="0078409C">
        <w:rPr>
          <w:rFonts w:cs="Arial"/>
        </w:rPr>
        <w:t xml:space="preserve"> 201</w:t>
      </w:r>
      <w:r>
        <w:rPr>
          <w:rFonts w:cs="Arial"/>
        </w:rPr>
        <w:t>5</w:t>
      </w:r>
      <w:r w:rsidRPr="0078409C">
        <w:rPr>
          <w:rFonts w:cs="Arial"/>
        </w:rPr>
        <w:t>/1</w:t>
      </w:r>
      <w:r>
        <w:rPr>
          <w:rFonts w:cs="Arial"/>
        </w:rPr>
        <w:t>6</w:t>
      </w:r>
      <w:r w:rsidRPr="0078409C">
        <w:rPr>
          <w:rFonts w:cs="Arial"/>
        </w:rPr>
        <w:t xml:space="preserve"> </w:t>
      </w:r>
      <w:r w:rsidRPr="007F6E5E">
        <w:rPr>
          <w:rFonts w:cs="Arial"/>
        </w:rPr>
        <w:t xml:space="preserve">compared with the last 15 months. </w:t>
      </w:r>
      <w:r w:rsidR="007F6E5E" w:rsidRPr="007F6E5E">
        <w:rPr>
          <w:rFonts w:cs="Arial"/>
        </w:rPr>
        <w:t>Nine</w:t>
      </w:r>
      <w:r w:rsidRPr="007F6E5E">
        <w:rPr>
          <w:rFonts w:cs="Arial"/>
        </w:rPr>
        <w:t xml:space="preserve"> risks have been closed since the last quarter</w:t>
      </w:r>
      <w:r w:rsidR="00D3115F" w:rsidRPr="007F6E5E">
        <w:rPr>
          <w:rFonts w:cs="Arial"/>
        </w:rPr>
        <w:t xml:space="preserve"> and there </w:t>
      </w:r>
      <w:r w:rsidR="00993A4E" w:rsidRPr="007F6E5E">
        <w:rPr>
          <w:rFonts w:cs="Arial"/>
        </w:rPr>
        <w:t>are</w:t>
      </w:r>
      <w:r w:rsidR="002E7B2E" w:rsidRPr="007F6E5E">
        <w:rPr>
          <w:rFonts w:cs="Arial"/>
        </w:rPr>
        <w:t xml:space="preserve"> </w:t>
      </w:r>
      <w:r w:rsidR="007F6E5E" w:rsidRPr="007F6E5E">
        <w:rPr>
          <w:rFonts w:cs="Arial"/>
        </w:rPr>
        <w:t>two</w:t>
      </w:r>
      <w:r w:rsidR="00D3115F" w:rsidRPr="007F6E5E">
        <w:rPr>
          <w:rFonts w:cs="Arial"/>
        </w:rPr>
        <w:t xml:space="preserve"> new risks</w:t>
      </w:r>
      <w:r w:rsidRPr="007F6E5E">
        <w:rPr>
          <w:rFonts w:cs="Arial"/>
        </w:rPr>
        <w:t>.</w:t>
      </w:r>
    </w:p>
    <w:p w:rsidR="00B227BD" w:rsidRDefault="00B227BD">
      <w:pPr>
        <w:rPr>
          <w:rFonts w:cs="Arial"/>
        </w:rPr>
      </w:pPr>
      <w:r>
        <w:rPr>
          <w:rFonts w:cs="Arial"/>
        </w:rPr>
        <w:br w:type="page"/>
      </w:r>
    </w:p>
    <w:p w:rsidR="000C7E80" w:rsidRDefault="000C7E80" w:rsidP="000C7E80">
      <w:pPr>
        <w:pStyle w:val="ListParagraph"/>
        <w:rPr>
          <w:rFonts w:cs="Arial"/>
        </w:rPr>
      </w:pPr>
    </w:p>
    <w:tbl>
      <w:tblPr>
        <w:tblW w:w="7780" w:type="dxa"/>
        <w:tblInd w:w="93" w:type="dxa"/>
        <w:tblLook w:val="04A0" w:firstRow="1" w:lastRow="0" w:firstColumn="1" w:lastColumn="0" w:noHBand="0" w:noVBand="1"/>
      </w:tblPr>
      <w:tblGrid>
        <w:gridCol w:w="2180"/>
        <w:gridCol w:w="1120"/>
        <w:gridCol w:w="1120"/>
        <w:gridCol w:w="1120"/>
        <w:gridCol w:w="1120"/>
        <w:gridCol w:w="1120"/>
      </w:tblGrid>
      <w:tr w:rsidR="00AC616F" w:rsidRPr="00AC616F" w:rsidTr="00AC616F">
        <w:trPr>
          <w:trHeight w:val="315"/>
        </w:trPr>
        <w:tc>
          <w:tcPr>
            <w:tcW w:w="2180" w:type="dxa"/>
            <w:vMerge w:val="restar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AC616F" w:rsidRPr="00AC616F" w:rsidRDefault="00AC616F" w:rsidP="00AC616F">
            <w:pPr>
              <w:rPr>
                <w:rFonts w:cs="Arial"/>
                <w:b/>
                <w:bCs/>
                <w:color w:val="000000"/>
                <w:lang w:eastAsia="en-GB"/>
              </w:rPr>
            </w:pPr>
            <w:r w:rsidRPr="00AC616F">
              <w:rPr>
                <w:rFonts w:cs="Arial"/>
                <w:b/>
                <w:bCs/>
                <w:color w:val="000000"/>
                <w:lang w:eastAsia="en-GB"/>
              </w:rPr>
              <w:t>Current Risk</w:t>
            </w:r>
          </w:p>
        </w:tc>
        <w:tc>
          <w:tcPr>
            <w:tcW w:w="112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AC616F" w:rsidRPr="00AC616F" w:rsidRDefault="00AC616F" w:rsidP="00AC616F">
            <w:pPr>
              <w:jc w:val="right"/>
              <w:rPr>
                <w:rFonts w:cs="Arial"/>
                <w:b/>
                <w:bCs/>
                <w:color w:val="000000"/>
                <w:lang w:eastAsia="en-GB"/>
              </w:rPr>
            </w:pPr>
            <w:r w:rsidRPr="00AC616F">
              <w:rPr>
                <w:rFonts w:cs="Arial"/>
                <w:b/>
                <w:bCs/>
                <w:color w:val="000000"/>
                <w:lang w:eastAsia="en-GB"/>
              </w:rPr>
              <w:t>Q2 2014/15</w:t>
            </w:r>
          </w:p>
        </w:tc>
        <w:tc>
          <w:tcPr>
            <w:tcW w:w="112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AC616F" w:rsidRPr="00AC616F" w:rsidRDefault="00AC616F" w:rsidP="00AC616F">
            <w:pPr>
              <w:jc w:val="right"/>
              <w:rPr>
                <w:rFonts w:cs="Arial"/>
                <w:b/>
                <w:bCs/>
                <w:color w:val="000000"/>
                <w:lang w:eastAsia="en-GB"/>
              </w:rPr>
            </w:pPr>
            <w:r w:rsidRPr="00AC616F">
              <w:rPr>
                <w:rFonts w:cs="Arial"/>
                <w:b/>
                <w:bCs/>
                <w:color w:val="000000"/>
                <w:lang w:eastAsia="en-GB"/>
              </w:rPr>
              <w:t>Q3 2014/15</w:t>
            </w:r>
          </w:p>
        </w:tc>
        <w:tc>
          <w:tcPr>
            <w:tcW w:w="112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AC616F" w:rsidRPr="00AC616F" w:rsidRDefault="00AC616F" w:rsidP="00AC616F">
            <w:pPr>
              <w:jc w:val="right"/>
              <w:rPr>
                <w:rFonts w:cs="Arial"/>
                <w:b/>
                <w:bCs/>
                <w:color w:val="000000"/>
                <w:lang w:eastAsia="en-GB"/>
              </w:rPr>
            </w:pPr>
            <w:r w:rsidRPr="00AC616F">
              <w:rPr>
                <w:rFonts w:cs="Arial"/>
                <w:b/>
                <w:bCs/>
                <w:color w:val="000000"/>
                <w:lang w:eastAsia="en-GB"/>
              </w:rPr>
              <w:t>Q4 2014/15</w:t>
            </w:r>
          </w:p>
        </w:tc>
        <w:tc>
          <w:tcPr>
            <w:tcW w:w="112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AC616F" w:rsidRPr="00AC616F" w:rsidRDefault="00AC616F" w:rsidP="00AC616F">
            <w:pPr>
              <w:jc w:val="right"/>
              <w:rPr>
                <w:rFonts w:cs="Arial"/>
                <w:b/>
                <w:bCs/>
                <w:color w:val="000000"/>
                <w:lang w:eastAsia="en-GB"/>
              </w:rPr>
            </w:pPr>
            <w:r w:rsidRPr="00AC616F">
              <w:rPr>
                <w:rFonts w:cs="Arial"/>
                <w:b/>
                <w:bCs/>
                <w:color w:val="000000"/>
                <w:lang w:eastAsia="en-GB"/>
              </w:rPr>
              <w:t>Q1 2015/16</w:t>
            </w:r>
          </w:p>
        </w:tc>
        <w:tc>
          <w:tcPr>
            <w:tcW w:w="1120" w:type="dxa"/>
            <w:vMerge w:val="restart"/>
            <w:tcBorders>
              <w:top w:val="single" w:sz="8" w:space="0" w:color="000000"/>
              <w:left w:val="single" w:sz="8" w:space="0" w:color="000000"/>
              <w:bottom w:val="single" w:sz="8" w:space="0" w:color="000000"/>
              <w:right w:val="single" w:sz="8" w:space="0" w:color="000000"/>
            </w:tcBorders>
            <w:shd w:val="clear" w:color="000000" w:fill="D9D9D9"/>
            <w:vAlign w:val="center"/>
            <w:hideMark/>
          </w:tcPr>
          <w:p w:rsidR="00AC616F" w:rsidRPr="00AC616F" w:rsidRDefault="00AC616F" w:rsidP="00AC616F">
            <w:pPr>
              <w:jc w:val="right"/>
              <w:rPr>
                <w:rFonts w:cs="Arial"/>
                <w:b/>
                <w:bCs/>
                <w:color w:val="000000"/>
                <w:lang w:eastAsia="en-GB"/>
              </w:rPr>
            </w:pPr>
            <w:r w:rsidRPr="00AC616F">
              <w:rPr>
                <w:rFonts w:cs="Arial"/>
                <w:b/>
                <w:bCs/>
                <w:color w:val="000000"/>
                <w:lang w:eastAsia="en-GB"/>
              </w:rPr>
              <w:t>Q2 2015/16</w:t>
            </w:r>
          </w:p>
        </w:tc>
      </w:tr>
      <w:tr w:rsidR="00AC616F" w:rsidRPr="00AC616F" w:rsidTr="00AC616F">
        <w:trPr>
          <w:trHeight w:val="315"/>
        </w:trPr>
        <w:tc>
          <w:tcPr>
            <w:tcW w:w="2180" w:type="dxa"/>
            <w:vMerge/>
            <w:tcBorders>
              <w:top w:val="single" w:sz="8" w:space="0" w:color="000000"/>
              <w:left w:val="single" w:sz="8" w:space="0" w:color="000000"/>
              <w:bottom w:val="single" w:sz="8" w:space="0" w:color="000000"/>
              <w:right w:val="single" w:sz="8" w:space="0" w:color="000000"/>
            </w:tcBorders>
            <w:vAlign w:val="center"/>
            <w:hideMark/>
          </w:tcPr>
          <w:p w:rsidR="00AC616F" w:rsidRPr="00AC616F" w:rsidRDefault="00AC616F" w:rsidP="00AC616F">
            <w:pPr>
              <w:rPr>
                <w:rFonts w:cs="Arial"/>
                <w:b/>
                <w:bCs/>
                <w:color w:val="000000"/>
                <w:lang w:eastAsia="en-GB"/>
              </w:rPr>
            </w:pPr>
          </w:p>
        </w:tc>
        <w:tc>
          <w:tcPr>
            <w:tcW w:w="1120" w:type="dxa"/>
            <w:vMerge/>
            <w:tcBorders>
              <w:top w:val="single" w:sz="8" w:space="0" w:color="000000"/>
              <w:left w:val="single" w:sz="8" w:space="0" w:color="000000"/>
              <w:bottom w:val="single" w:sz="8" w:space="0" w:color="000000"/>
              <w:right w:val="single" w:sz="8" w:space="0" w:color="000000"/>
            </w:tcBorders>
            <w:vAlign w:val="center"/>
            <w:hideMark/>
          </w:tcPr>
          <w:p w:rsidR="00AC616F" w:rsidRPr="00AC616F" w:rsidRDefault="00AC616F" w:rsidP="00AC616F">
            <w:pPr>
              <w:rPr>
                <w:rFonts w:cs="Arial"/>
                <w:b/>
                <w:bCs/>
                <w:color w:val="000000"/>
                <w:lang w:eastAsia="en-GB"/>
              </w:rPr>
            </w:pPr>
          </w:p>
        </w:tc>
        <w:tc>
          <w:tcPr>
            <w:tcW w:w="1120" w:type="dxa"/>
            <w:vMerge/>
            <w:tcBorders>
              <w:top w:val="single" w:sz="8" w:space="0" w:color="000000"/>
              <w:left w:val="single" w:sz="8" w:space="0" w:color="000000"/>
              <w:bottom w:val="single" w:sz="8" w:space="0" w:color="000000"/>
              <w:right w:val="single" w:sz="8" w:space="0" w:color="000000"/>
            </w:tcBorders>
            <w:vAlign w:val="center"/>
            <w:hideMark/>
          </w:tcPr>
          <w:p w:rsidR="00AC616F" w:rsidRPr="00AC616F" w:rsidRDefault="00AC616F" w:rsidP="00AC616F">
            <w:pPr>
              <w:rPr>
                <w:rFonts w:cs="Arial"/>
                <w:b/>
                <w:bCs/>
                <w:color w:val="000000"/>
                <w:lang w:eastAsia="en-GB"/>
              </w:rPr>
            </w:pPr>
          </w:p>
        </w:tc>
        <w:tc>
          <w:tcPr>
            <w:tcW w:w="1120" w:type="dxa"/>
            <w:vMerge/>
            <w:tcBorders>
              <w:top w:val="single" w:sz="8" w:space="0" w:color="000000"/>
              <w:left w:val="single" w:sz="8" w:space="0" w:color="000000"/>
              <w:bottom w:val="single" w:sz="8" w:space="0" w:color="000000"/>
              <w:right w:val="single" w:sz="8" w:space="0" w:color="000000"/>
            </w:tcBorders>
            <w:vAlign w:val="center"/>
            <w:hideMark/>
          </w:tcPr>
          <w:p w:rsidR="00AC616F" w:rsidRPr="00AC616F" w:rsidRDefault="00AC616F" w:rsidP="00AC616F">
            <w:pPr>
              <w:rPr>
                <w:rFonts w:cs="Arial"/>
                <w:b/>
                <w:bCs/>
                <w:color w:val="000000"/>
                <w:lang w:eastAsia="en-GB"/>
              </w:rPr>
            </w:pPr>
          </w:p>
        </w:tc>
        <w:tc>
          <w:tcPr>
            <w:tcW w:w="1120" w:type="dxa"/>
            <w:vMerge/>
            <w:tcBorders>
              <w:top w:val="single" w:sz="8" w:space="0" w:color="000000"/>
              <w:left w:val="single" w:sz="8" w:space="0" w:color="000000"/>
              <w:bottom w:val="single" w:sz="8" w:space="0" w:color="000000"/>
              <w:right w:val="single" w:sz="8" w:space="0" w:color="000000"/>
            </w:tcBorders>
            <w:vAlign w:val="center"/>
            <w:hideMark/>
          </w:tcPr>
          <w:p w:rsidR="00AC616F" w:rsidRPr="00AC616F" w:rsidRDefault="00AC616F" w:rsidP="00AC616F">
            <w:pPr>
              <w:rPr>
                <w:rFonts w:cs="Arial"/>
                <w:b/>
                <w:bCs/>
                <w:color w:val="000000"/>
                <w:lang w:eastAsia="en-GB"/>
              </w:rPr>
            </w:pPr>
          </w:p>
        </w:tc>
        <w:tc>
          <w:tcPr>
            <w:tcW w:w="1120" w:type="dxa"/>
            <w:vMerge/>
            <w:tcBorders>
              <w:top w:val="single" w:sz="8" w:space="0" w:color="000000"/>
              <w:left w:val="single" w:sz="8" w:space="0" w:color="000000"/>
              <w:bottom w:val="single" w:sz="8" w:space="0" w:color="000000"/>
              <w:right w:val="single" w:sz="8" w:space="0" w:color="000000"/>
            </w:tcBorders>
            <w:vAlign w:val="center"/>
            <w:hideMark/>
          </w:tcPr>
          <w:p w:rsidR="00AC616F" w:rsidRPr="00AC616F" w:rsidRDefault="00AC616F" w:rsidP="00AC616F">
            <w:pPr>
              <w:rPr>
                <w:rFonts w:cs="Arial"/>
                <w:b/>
                <w:bCs/>
                <w:color w:val="000000"/>
                <w:lang w:eastAsia="en-GB"/>
              </w:rPr>
            </w:pPr>
          </w:p>
        </w:tc>
      </w:tr>
      <w:tr w:rsidR="00AC616F" w:rsidRPr="00AC616F" w:rsidTr="00AC616F">
        <w:trPr>
          <w:trHeight w:val="315"/>
        </w:trPr>
        <w:tc>
          <w:tcPr>
            <w:tcW w:w="2180" w:type="dxa"/>
            <w:tcBorders>
              <w:top w:val="nil"/>
              <w:left w:val="single" w:sz="8" w:space="0" w:color="000000"/>
              <w:bottom w:val="single" w:sz="8" w:space="0" w:color="000000"/>
              <w:right w:val="single" w:sz="8" w:space="0" w:color="000000"/>
            </w:tcBorders>
            <w:shd w:val="clear" w:color="auto" w:fill="auto"/>
            <w:noWrap/>
            <w:vAlign w:val="center"/>
            <w:hideMark/>
          </w:tcPr>
          <w:p w:rsidR="00AC616F" w:rsidRPr="00AC616F" w:rsidRDefault="00AC616F" w:rsidP="00AC616F">
            <w:pPr>
              <w:rPr>
                <w:rFonts w:cs="Arial"/>
                <w:color w:val="000000"/>
                <w:lang w:eastAsia="en-GB"/>
              </w:rPr>
            </w:pPr>
            <w:r w:rsidRPr="00AC616F">
              <w:rPr>
                <w:rFonts w:cs="Arial"/>
                <w:color w:val="000000"/>
                <w:lang w:eastAsia="en-GB"/>
              </w:rPr>
              <w:t>Red</w:t>
            </w:r>
          </w:p>
        </w:tc>
        <w:tc>
          <w:tcPr>
            <w:tcW w:w="1120" w:type="dxa"/>
            <w:tcBorders>
              <w:top w:val="nil"/>
              <w:left w:val="nil"/>
              <w:bottom w:val="single" w:sz="8" w:space="0" w:color="000000"/>
              <w:right w:val="single" w:sz="8" w:space="0" w:color="000000"/>
            </w:tcBorders>
            <w:shd w:val="clear" w:color="auto" w:fill="auto"/>
            <w:vAlign w:val="center"/>
            <w:hideMark/>
          </w:tcPr>
          <w:p w:rsidR="00AC616F" w:rsidRPr="00AC616F" w:rsidRDefault="00AC616F" w:rsidP="00AC616F">
            <w:pPr>
              <w:jc w:val="right"/>
              <w:rPr>
                <w:rFonts w:cs="Arial"/>
                <w:color w:val="000000"/>
                <w:lang w:eastAsia="en-GB"/>
              </w:rPr>
            </w:pPr>
            <w:r w:rsidRPr="00AC616F">
              <w:rPr>
                <w:rFonts w:cs="Arial"/>
                <w:color w:val="000000"/>
                <w:lang w:eastAsia="en-GB"/>
              </w:rPr>
              <w:t>0</w:t>
            </w:r>
          </w:p>
        </w:tc>
        <w:tc>
          <w:tcPr>
            <w:tcW w:w="1120" w:type="dxa"/>
            <w:tcBorders>
              <w:top w:val="nil"/>
              <w:left w:val="nil"/>
              <w:bottom w:val="single" w:sz="8" w:space="0" w:color="000000"/>
              <w:right w:val="single" w:sz="8" w:space="0" w:color="000000"/>
            </w:tcBorders>
            <w:shd w:val="clear" w:color="auto" w:fill="auto"/>
            <w:vAlign w:val="center"/>
            <w:hideMark/>
          </w:tcPr>
          <w:p w:rsidR="00AC616F" w:rsidRPr="00AC616F" w:rsidRDefault="00AC616F" w:rsidP="00AC616F">
            <w:pPr>
              <w:jc w:val="right"/>
              <w:rPr>
                <w:rFonts w:cs="Arial"/>
                <w:color w:val="000000"/>
                <w:lang w:eastAsia="en-GB"/>
              </w:rPr>
            </w:pPr>
            <w:r w:rsidRPr="00AC616F">
              <w:rPr>
                <w:rFonts w:cs="Arial"/>
                <w:color w:val="000000"/>
                <w:lang w:eastAsia="en-GB"/>
              </w:rPr>
              <w:t>0</w:t>
            </w:r>
          </w:p>
        </w:tc>
        <w:tc>
          <w:tcPr>
            <w:tcW w:w="1120" w:type="dxa"/>
            <w:tcBorders>
              <w:top w:val="nil"/>
              <w:left w:val="nil"/>
              <w:bottom w:val="single" w:sz="8" w:space="0" w:color="000000"/>
              <w:right w:val="single" w:sz="8" w:space="0" w:color="000000"/>
            </w:tcBorders>
            <w:shd w:val="clear" w:color="auto" w:fill="auto"/>
            <w:vAlign w:val="center"/>
            <w:hideMark/>
          </w:tcPr>
          <w:p w:rsidR="00AC616F" w:rsidRPr="00AC616F" w:rsidRDefault="00AC616F" w:rsidP="00AC616F">
            <w:pPr>
              <w:jc w:val="right"/>
              <w:rPr>
                <w:rFonts w:cs="Arial"/>
                <w:color w:val="000000"/>
                <w:lang w:eastAsia="en-GB"/>
              </w:rPr>
            </w:pPr>
            <w:r w:rsidRPr="00AC616F">
              <w:rPr>
                <w:rFonts w:cs="Arial"/>
                <w:color w:val="000000"/>
                <w:lang w:eastAsia="en-GB"/>
              </w:rPr>
              <w:t>0</w:t>
            </w:r>
          </w:p>
        </w:tc>
        <w:tc>
          <w:tcPr>
            <w:tcW w:w="1120" w:type="dxa"/>
            <w:tcBorders>
              <w:top w:val="nil"/>
              <w:left w:val="nil"/>
              <w:bottom w:val="single" w:sz="8" w:space="0" w:color="000000"/>
              <w:right w:val="single" w:sz="8" w:space="0" w:color="000000"/>
            </w:tcBorders>
            <w:shd w:val="clear" w:color="auto" w:fill="auto"/>
            <w:vAlign w:val="center"/>
            <w:hideMark/>
          </w:tcPr>
          <w:p w:rsidR="00AC616F" w:rsidRPr="00AC616F" w:rsidRDefault="00AC616F" w:rsidP="00AC616F">
            <w:pPr>
              <w:jc w:val="right"/>
              <w:rPr>
                <w:rFonts w:cs="Arial"/>
                <w:color w:val="000000"/>
                <w:lang w:eastAsia="en-GB"/>
              </w:rPr>
            </w:pPr>
            <w:r w:rsidRPr="00AC616F">
              <w:rPr>
                <w:rFonts w:cs="Arial"/>
                <w:color w:val="000000"/>
                <w:lang w:eastAsia="en-GB"/>
              </w:rPr>
              <w:t>1</w:t>
            </w:r>
          </w:p>
        </w:tc>
        <w:tc>
          <w:tcPr>
            <w:tcW w:w="1120" w:type="dxa"/>
            <w:tcBorders>
              <w:top w:val="nil"/>
              <w:left w:val="nil"/>
              <w:bottom w:val="single" w:sz="8" w:space="0" w:color="000000"/>
              <w:right w:val="single" w:sz="8" w:space="0" w:color="000000"/>
            </w:tcBorders>
            <w:shd w:val="clear" w:color="000000" w:fill="D9D9D9"/>
            <w:vAlign w:val="center"/>
            <w:hideMark/>
          </w:tcPr>
          <w:p w:rsidR="00AC616F" w:rsidRPr="00AC616F" w:rsidRDefault="00AC616F" w:rsidP="00AC616F">
            <w:pPr>
              <w:jc w:val="right"/>
              <w:rPr>
                <w:rFonts w:cs="Arial"/>
                <w:color w:val="000000"/>
                <w:lang w:eastAsia="en-GB"/>
              </w:rPr>
            </w:pPr>
            <w:r w:rsidRPr="00AC616F">
              <w:rPr>
                <w:rFonts w:cs="Arial"/>
                <w:color w:val="000000"/>
                <w:lang w:eastAsia="en-GB"/>
              </w:rPr>
              <w:t>4</w:t>
            </w:r>
          </w:p>
        </w:tc>
      </w:tr>
      <w:tr w:rsidR="00AC616F" w:rsidRPr="00AC616F" w:rsidTr="00AC616F">
        <w:trPr>
          <w:trHeight w:val="315"/>
        </w:trPr>
        <w:tc>
          <w:tcPr>
            <w:tcW w:w="2180" w:type="dxa"/>
            <w:tcBorders>
              <w:top w:val="nil"/>
              <w:left w:val="single" w:sz="8" w:space="0" w:color="000000"/>
              <w:bottom w:val="single" w:sz="8" w:space="0" w:color="000000"/>
              <w:right w:val="single" w:sz="8" w:space="0" w:color="000000"/>
            </w:tcBorders>
            <w:shd w:val="clear" w:color="auto" w:fill="auto"/>
            <w:noWrap/>
            <w:vAlign w:val="center"/>
            <w:hideMark/>
          </w:tcPr>
          <w:p w:rsidR="00AC616F" w:rsidRPr="00AC616F" w:rsidRDefault="00AC616F" w:rsidP="00AC616F">
            <w:pPr>
              <w:rPr>
                <w:rFonts w:cs="Arial"/>
                <w:color w:val="000000"/>
                <w:lang w:eastAsia="en-GB"/>
              </w:rPr>
            </w:pPr>
            <w:r w:rsidRPr="00AC616F">
              <w:rPr>
                <w:rFonts w:cs="Arial"/>
                <w:color w:val="000000"/>
                <w:lang w:eastAsia="en-GB"/>
              </w:rPr>
              <w:t>Amber</w:t>
            </w:r>
          </w:p>
        </w:tc>
        <w:tc>
          <w:tcPr>
            <w:tcW w:w="1120" w:type="dxa"/>
            <w:tcBorders>
              <w:top w:val="nil"/>
              <w:left w:val="nil"/>
              <w:bottom w:val="single" w:sz="8" w:space="0" w:color="000000"/>
              <w:right w:val="single" w:sz="8" w:space="0" w:color="000000"/>
            </w:tcBorders>
            <w:shd w:val="clear" w:color="auto" w:fill="auto"/>
            <w:vAlign w:val="center"/>
            <w:hideMark/>
          </w:tcPr>
          <w:p w:rsidR="00AC616F" w:rsidRPr="00AC616F" w:rsidRDefault="00AC616F" w:rsidP="00AC616F">
            <w:pPr>
              <w:jc w:val="right"/>
              <w:rPr>
                <w:rFonts w:cs="Arial"/>
                <w:color w:val="000000"/>
                <w:lang w:eastAsia="en-GB"/>
              </w:rPr>
            </w:pPr>
            <w:r w:rsidRPr="00AC616F">
              <w:rPr>
                <w:rFonts w:cs="Arial"/>
                <w:color w:val="000000"/>
                <w:lang w:eastAsia="en-GB"/>
              </w:rPr>
              <w:t>41</w:t>
            </w:r>
          </w:p>
        </w:tc>
        <w:tc>
          <w:tcPr>
            <w:tcW w:w="1120" w:type="dxa"/>
            <w:tcBorders>
              <w:top w:val="nil"/>
              <w:left w:val="nil"/>
              <w:bottom w:val="single" w:sz="8" w:space="0" w:color="000000"/>
              <w:right w:val="single" w:sz="8" w:space="0" w:color="000000"/>
            </w:tcBorders>
            <w:shd w:val="clear" w:color="auto" w:fill="auto"/>
            <w:vAlign w:val="center"/>
            <w:hideMark/>
          </w:tcPr>
          <w:p w:rsidR="00AC616F" w:rsidRPr="00AC616F" w:rsidRDefault="00AC616F" w:rsidP="00AC616F">
            <w:pPr>
              <w:jc w:val="right"/>
              <w:rPr>
                <w:rFonts w:cs="Arial"/>
                <w:color w:val="000000"/>
                <w:lang w:eastAsia="en-GB"/>
              </w:rPr>
            </w:pPr>
            <w:r w:rsidRPr="00AC616F">
              <w:rPr>
                <w:rFonts w:cs="Arial"/>
                <w:color w:val="000000"/>
                <w:lang w:eastAsia="en-GB"/>
              </w:rPr>
              <w:t>38</w:t>
            </w:r>
          </w:p>
        </w:tc>
        <w:tc>
          <w:tcPr>
            <w:tcW w:w="1120" w:type="dxa"/>
            <w:tcBorders>
              <w:top w:val="nil"/>
              <w:left w:val="nil"/>
              <w:bottom w:val="single" w:sz="8" w:space="0" w:color="000000"/>
              <w:right w:val="single" w:sz="8" w:space="0" w:color="000000"/>
            </w:tcBorders>
            <w:shd w:val="clear" w:color="auto" w:fill="auto"/>
            <w:vAlign w:val="center"/>
            <w:hideMark/>
          </w:tcPr>
          <w:p w:rsidR="00AC616F" w:rsidRPr="00AC616F" w:rsidRDefault="00AC616F" w:rsidP="00AC616F">
            <w:pPr>
              <w:jc w:val="right"/>
              <w:rPr>
                <w:rFonts w:cs="Arial"/>
                <w:color w:val="000000"/>
                <w:lang w:eastAsia="en-GB"/>
              </w:rPr>
            </w:pPr>
            <w:r w:rsidRPr="00AC616F">
              <w:rPr>
                <w:rFonts w:cs="Arial"/>
                <w:color w:val="000000"/>
                <w:lang w:eastAsia="en-GB"/>
              </w:rPr>
              <w:t>39</w:t>
            </w:r>
          </w:p>
        </w:tc>
        <w:tc>
          <w:tcPr>
            <w:tcW w:w="1120" w:type="dxa"/>
            <w:tcBorders>
              <w:top w:val="nil"/>
              <w:left w:val="nil"/>
              <w:bottom w:val="single" w:sz="8" w:space="0" w:color="000000"/>
              <w:right w:val="single" w:sz="8" w:space="0" w:color="000000"/>
            </w:tcBorders>
            <w:shd w:val="clear" w:color="auto" w:fill="auto"/>
            <w:vAlign w:val="center"/>
            <w:hideMark/>
          </w:tcPr>
          <w:p w:rsidR="00AC616F" w:rsidRPr="00AC616F" w:rsidRDefault="00AC616F" w:rsidP="00AC616F">
            <w:pPr>
              <w:jc w:val="right"/>
              <w:rPr>
                <w:rFonts w:cs="Arial"/>
                <w:color w:val="000000"/>
                <w:lang w:eastAsia="en-GB"/>
              </w:rPr>
            </w:pPr>
            <w:r w:rsidRPr="00AC616F">
              <w:rPr>
                <w:rFonts w:cs="Arial"/>
                <w:color w:val="000000"/>
                <w:lang w:eastAsia="en-GB"/>
              </w:rPr>
              <w:t>32</w:t>
            </w:r>
          </w:p>
        </w:tc>
        <w:tc>
          <w:tcPr>
            <w:tcW w:w="1120" w:type="dxa"/>
            <w:tcBorders>
              <w:top w:val="nil"/>
              <w:left w:val="nil"/>
              <w:bottom w:val="single" w:sz="8" w:space="0" w:color="000000"/>
              <w:right w:val="single" w:sz="8" w:space="0" w:color="000000"/>
            </w:tcBorders>
            <w:shd w:val="clear" w:color="000000" w:fill="D9D9D9"/>
            <w:vAlign w:val="center"/>
            <w:hideMark/>
          </w:tcPr>
          <w:p w:rsidR="00AC616F" w:rsidRPr="00AC616F" w:rsidRDefault="00AC616F" w:rsidP="00AC616F">
            <w:pPr>
              <w:jc w:val="right"/>
              <w:rPr>
                <w:rFonts w:cs="Arial"/>
                <w:color w:val="000000"/>
                <w:lang w:eastAsia="en-GB"/>
              </w:rPr>
            </w:pPr>
            <w:r w:rsidRPr="00AC616F">
              <w:rPr>
                <w:rFonts w:cs="Arial"/>
                <w:color w:val="000000"/>
                <w:lang w:eastAsia="en-GB"/>
              </w:rPr>
              <w:t>31</w:t>
            </w:r>
          </w:p>
        </w:tc>
      </w:tr>
      <w:tr w:rsidR="00AC616F" w:rsidRPr="00AC616F" w:rsidTr="00AC616F">
        <w:trPr>
          <w:trHeight w:val="315"/>
        </w:trPr>
        <w:tc>
          <w:tcPr>
            <w:tcW w:w="2180" w:type="dxa"/>
            <w:tcBorders>
              <w:top w:val="nil"/>
              <w:left w:val="single" w:sz="8" w:space="0" w:color="000000"/>
              <w:bottom w:val="single" w:sz="8" w:space="0" w:color="000000"/>
              <w:right w:val="single" w:sz="8" w:space="0" w:color="000000"/>
            </w:tcBorders>
            <w:shd w:val="clear" w:color="auto" w:fill="auto"/>
            <w:noWrap/>
            <w:vAlign w:val="center"/>
            <w:hideMark/>
          </w:tcPr>
          <w:p w:rsidR="00AC616F" w:rsidRPr="00AC616F" w:rsidRDefault="00AC616F" w:rsidP="00AC616F">
            <w:pPr>
              <w:rPr>
                <w:rFonts w:cs="Arial"/>
                <w:color w:val="000000"/>
                <w:lang w:eastAsia="en-GB"/>
              </w:rPr>
            </w:pPr>
            <w:r w:rsidRPr="00AC616F">
              <w:rPr>
                <w:rFonts w:cs="Arial"/>
                <w:color w:val="000000"/>
                <w:lang w:eastAsia="en-GB"/>
              </w:rPr>
              <w:t>Green</w:t>
            </w:r>
          </w:p>
        </w:tc>
        <w:tc>
          <w:tcPr>
            <w:tcW w:w="1120" w:type="dxa"/>
            <w:tcBorders>
              <w:top w:val="nil"/>
              <w:left w:val="nil"/>
              <w:bottom w:val="single" w:sz="8" w:space="0" w:color="000000"/>
              <w:right w:val="single" w:sz="8" w:space="0" w:color="000000"/>
            </w:tcBorders>
            <w:shd w:val="clear" w:color="auto" w:fill="auto"/>
            <w:vAlign w:val="center"/>
            <w:hideMark/>
          </w:tcPr>
          <w:p w:rsidR="00AC616F" w:rsidRPr="00AC616F" w:rsidRDefault="00AC616F" w:rsidP="00AC616F">
            <w:pPr>
              <w:jc w:val="right"/>
              <w:rPr>
                <w:rFonts w:cs="Arial"/>
                <w:color w:val="000000"/>
                <w:lang w:eastAsia="en-GB"/>
              </w:rPr>
            </w:pPr>
            <w:r w:rsidRPr="00AC616F">
              <w:rPr>
                <w:rFonts w:cs="Arial"/>
                <w:color w:val="000000"/>
                <w:lang w:eastAsia="en-GB"/>
              </w:rPr>
              <w:t>36</w:t>
            </w:r>
          </w:p>
        </w:tc>
        <w:tc>
          <w:tcPr>
            <w:tcW w:w="1120" w:type="dxa"/>
            <w:tcBorders>
              <w:top w:val="nil"/>
              <w:left w:val="nil"/>
              <w:bottom w:val="single" w:sz="8" w:space="0" w:color="000000"/>
              <w:right w:val="single" w:sz="8" w:space="0" w:color="000000"/>
            </w:tcBorders>
            <w:shd w:val="clear" w:color="auto" w:fill="auto"/>
            <w:vAlign w:val="center"/>
            <w:hideMark/>
          </w:tcPr>
          <w:p w:rsidR="00AC616F" w:rsidRPr="00AC616F" w:rsidRDefault="00AC616F" w:rsidP="00AC616F">
            <w:pPr>
              <w:jc w:val="right"/>
              <w:rPr>
                <w:rFonts w:cs="Arial"/>
                <w:color w:val="000000"/>
                <w:lang w:eastAsia="en-GB"/>
              </w:rPr>
            </w:pPr>
            <w:r w:rsidRPr="00AC616F">
              <w:rPr>
                <w:rFonts w:cs="Arial"/>
                <w:color w:val="000000"/>
                <w:lang w:eastAsia="en-GB"/>
              </w:rPr>
              <w:t>39</w:t>
            </w:r>
          </w:p>
        </w:tc>
        <w:tc>
          <w:tcPr>
            <w:tcW w:w="1120" w:type="dxa"/>
            <w:tcBorders>
              <w:top w:val="nil"/>
              <w:left w:val="nil"/>
              <w:bottom w:val="single" w:sz="8" w:space="0" w:color="000000"/>
              <w:right w:val="single" w:sz="8" w:space="0" w:color="000000"/>
            </w:tcBorders>
            <w:shd w:val="clear" w:color="auto" w:fill="auto"/>
            <w:vAlign w:val="center"/>
            <w:hideMark/>
          </w:tcPr>
          <w:p w:rsidR="00AC616F" w:rsidRPr="00AC616F" w:rsidRDefault="00AC616F" w:rsidP="00AC616F">
            <w:pPr>
              <w:jc w:val="right"/>
              <w:rPr>
                <w:rFonts w:cs="Arial"/>
                <w:color w:val="000000"/>
                <w:lang w:eastAsia="en-GB"/>
              </w:rPr>
            </w:pPr>
            <w:r w:rsidRPr="00AC616F">
              <w:rPr>
                <w:rFonts w:cs="Arial"/>
                <w:color w:val="000000"/>
                <w:lang w:eastAsia="en-GB"/>
              </w:rPr>
              <w:t>35</w:t>
            </w:r>
          </w:p>
        </w:tc>
        <w:tc>
          <w:tcPr>
            <w:tcW w:w="1120" w:type="dxa"/>
            <w:tcBorders>
              <w:top w:val="nil"/>
              <w:left w:val="nil"/>
              <w:bottom w:val="single" w:sz="8" w:space="0" w:color="000000"/>
              <w:right w:val="single" w:sz="8" w:space="0" w:color="000000"/>
            </w:tcBorders>
            <w:shd w:val="clear" w:color="auto" w:fill="auto"/>
            <w:vAlign w:val="center"/>
            <w:hideMark/>
          </w:tcPr>
          <w:p w:rsidR="00AC616F" w:rsidRPr="00AC616F" w:rsidRDefault="00AC616F" w:rsidP="00AC616F">
            <w:pPr>
              <w:jc w:val="right"/>
              <w:rPr>
                <w:rFonts w:cs="Arial"/>
                <w:color w:val="000000"/>
                <w:lang w:eastAsia="en-GB"/>
              </w:rPr>
            </w:pPr>
            <w:r w:rsidRPr="00AC616F">
              <w:rPr>
                <w:rFonts w:cs="Arial"/>
                <w:color w:val="000000"/>
                <w:lang w:eastAsia="en-GB"/>
              </w:rPr>
              <w:t>38</w:t>
            </w:r>
          </w:p>
        </w:tc>
        <w:tc>
          <w:tcPr>
            <w:tcW w:w="1120" w:type="dxa"/>
            <w:tcBorders>
              <w:top w:val="nil"/>
              <w:left w:val="nil"/>
              <w:bottom w:val="single" w:sz="8" w:space="0" w:color="000000"/>
              <w:right w:val="single" w:sz="8" w:space="0" w:color="000000"/>
            </w:tcBorders>
            <w:shd w:val="clear" w:color="000000" w:fill="D9D9D9"/>
            <w:vAlign w:val="center"/>
            <w:hideMark/>
          </w:tcPr>
          <w:p w:rsidR="00AC616F" w:rsidRPr="00AC616F" w:rsidRDefault="00AC616F" w:rsidP="00AC616F">
            <w:pPr>
              <w:jc w:val="right"/>
              <w:rPr>
                <w:rFonts w:cs="Arial"/>
                <w:color w:val="000000"/>
                <w:lang w:eastAsia="en-GB"/>
              </w:rPr>
            </w:pPr>
            <w:r w:rsidRPr="00AC616F">
              <w:rPr>
                <w:rFonts w:cs="Arial"/>
                <w:color w:val="000000"/>
                <w:lang w:eastAsia="en-GB"/>
              </w:rPr>
              <w:t>29</w:t>
            </w:r>
          </w:p>
        </w:tc>
      </w:tr>
      <w:tr w:rsidR="00AC616F" w:rsidRPr="00AC616F" w:rsidTr="00AC616F">
        <w:trPr>
          <w:trHeight w:val="330"/>
        </w:trPr>
        <w:tc>
          <w:tcPr>
            <w:tcW w:w="2180" w:type="dxa"/>
            <w:tcBorders>
              <w:top w:val="nil"/>
              <w:left w:val="single" w:sz="8" w:space="0" w:color="000000"/>
              <w:bottom w:val="single" w:sz="8" w:space="0" w:color="000000"/>
              <w:right w:val="single" w:sz="8" w:space="0" w:color="000000"/>
            </w:tcBorders>
            <w:shd w:val="clear" w:color="000000" w:fill="D9D9D9"/>
            <w:noWrap/>
            <w:vAlign w:val="center"/>
            <w:hideMark/>
          </w:tcPr>
          <w:p w:rsidR="00AC616F" w:rsidRPr="00AC616F" w:rsidRDefault="00AC616F" w:rsidP="00AC616F">
            <w:pPr>
              <w:rPr>
                <w:rFonts w:cs="Arial"/>
                <w:b/>
                <w:bCs/>
                <w:color w:val="000000"/>
                <w:lang w:eastAsia="en-GB"/>
              </w:rPr>
            </w:pPr>
            <w:r w:rsidRPr="00AC616F">
              <w:rPr>
                <w:rFonts w:cs="Arial"/>
                <w:b/>
                <w:bCs/>
                <w:color w:val="000000"/>
                <w:lang w:eastAsia="en-GB"/>
              </w:rPr>
              <w:t>Total risks</w:t>
            </w:r>
          </w:p>
        </w:tc>
        <w:tc>
          <w:tcPr>
            <w:tcW w:w="1120" w:type="dxa"/>
            <w:tcBorders>
              <w:top w:val="nil"/>
              <w:left w:val="nil"/>
              <w:bottom w:val="single" w:sz="8" w:space="0" w:color="000000"/>
              <w:right w:val="single" w:sz="8" w:space="0" w:color="000000"/>
            </w:tcBorders>
            <w:shd w:val="clear" w:color="000000" w:fill="D9D9D9"/>
            <w:vAlign w:val="center"/>
            <w:hideMark/>
          </w:tcPr>
          <w:p w:rsidR="00AC616F" w:rsidRPr="00AC616F" w:rsidRDefault="00AC616F" w:rsidP="00AC616F">
            <w:pPr>
              <w:jc w:val="right"/>
              <w:rPr>
                <w:rFonts w:cs="Arial"/>
                <w:b/>
                <w:bCs/>
                <w:color w:val="000000"/>
                <w:lang w:eastAsia="en-GB"/>
              </w:rPr>
            </w:pPr>
            <w:r w:rsidRPr="00AC616F">
              <w:rPr>
                <w:rFonts w:cs="Arial"/>
                <w:b/>
                <w:bCs/>
                <w:color w:val="000000"/>
                <w:lang w:eastAsia="en-GB"/>
              </w:rPr>
              <w:t>77</w:t>
            </w:r>
          </w:p>
        </w:tc>
        <w:tc>
          <w:tcPr>
            <w:tcW w:w="1120" w:type="dxa"/>
            <w:tcBorders>
              <w:top w:val="nil"/>
              <w:left w:val="nil"/>
              <w:bottom w:val="single" w:sz="8" w:space="0" w:color="000000"/>
              <w:right w:val="single" w:sz="8" w:space="0" w:color="000000"/>
            </w:tcBorders>
            <w:shd w:val="clear" w:color="000000" w:fill="D9D9D9"/>
            <w:vAlign w:val="center"/>
            <w:hideMark/>
          </w:tcPr>
          <w:p w:rsidR="00AC616F" w:rsidRPr="00AC616F" w:rsidRDefault="00AC616F" w:rsidP="00AC616F">
            <w:pPr>
              <w:jc w:val="right"/>
              <w:rPr>
                <w:rFonts w:cs="Arial"/>
                <w:b/>
                <w:bCs/>
                <w:color w:val="000000"/>
                <w:lang w:eastAsia="en-GB"/>
              </w:rPr>
            </w:pPr>
            <w:r w:rsidRPr="00AC616F">
              <w:rPr>
                <w:rFonts w:cs="Arial"/>
                <w:b/>
                <w:bCs/>
                <w:color w:val="000000"/>
                <w:lang w:eastAsia="en-GB"/>
              </w:rPr>
              <w:t>77</w:t>
            </w:r>
          </w:p>
        </w:tc>
        <w:tc>
          <w:tcPr>
            <w:tcW w:w="1120" w:type="dxa"/>
            <w:tcBorders>
              <w:top w:val="nil"/>
              <w:left w:val="nil"/>
              <w:bottom w:val="single" w:sz="8" w:space="0" w:color="000000"/>
              <w:right w:val="single" w:sz="8" w:space="0" w:color="000000"/>
            </w:tcBorders>
            <w:shd w:val="clear" w:color="000000" w:fill="D9D9D9"/>
            <w:vAlign w:val="center"/>
            <w:hideMark/>
          </w:tcPr>
          <w:p w:rsidR="00AC616F" w:rsidRPr="00AC616F" w:rsidRDefault="00AC616F" w:rsidP="00AC616F">
            <w:pPr>
              <w:jc w:val="right"/>
              <w:rPr>
                <w:rFonts w:cs="Arial"/>
                <w:b/>
                <w:bCs/>
                <w:color w:val="000000"/>
                <w:lang w:eastAsia="en-GB"/>
              </w:rPr>
            </w:pPr>
            <w:r w:rsidRPr="00AC616F">
              <w:rPr>
                <w:rFonts w:cs="Arial"/>
                <w:b/>
                <w:bCs/>
                <w:color w:val="000000"/>
                <w:lang w:eastAsia="en-GB"/>
              </w:rPr>
              <w:t>74</w:t>
            </w:r>
          </w:p>
        </w:tc>
        <w:tc>
          <w:tcPr>
            <w:tcW w:w="1120" w:type="dxa"/>
            <w:tcBorders>
              <w:top w:val="nil"/>
              <w:left w:val="nil"/>
              <w:bottom w:val="single" w:sz="8" w:space="0" w:color="000000"/>
              <w:right w:val="single" w:sz="8" w:space="0" w:color="000000"/>
            </w:tcBorders>
            <w:shd w:val="clear" w:color="000000" w:fill="D9D9D9"/>
            <w:vAlign w:val="center"/>
            <w:hideMark/>
          </w:tcPr>
          <w:p w:rsidR="00AC616F" w:rsidRPr="00AC616F" w:rsidRDefault="00AC616F" w:rsidP="00AC616F">
            <w:pPr>
              <w:jc w:val="right"/>
              <w:rPr>
                <w:rFonts w:cs="Arial"/>
                <w:b/>
                <w:bCs/>
                <w:color w:val="000000"/>
                <w:lang w:eastAsia="en-GB"/>
              </w:rPr>
            </w:pPr>
            <w:r w:rsidRPr="00AC616F">
              <w:rPr>
                <w:rFonts w:cs="Arial"/>
                <w:b/>
                <w:bCs/>
                <w:color w:val="000000"/>
                <w:lang w:eastAsia="en-GB"/>
              </w:rPr>
              <w:t>71</w:t>
            </w:r>
          </w:p>
        </w:tc>
        <w:tc>
          <w:tcPr>
            <w:tcW w:w="1120" w:type="dxa"/>
            <w:tcBorders>
              <w:top w:val="nil"/>
              <w:left w:val="nil"/>
              <w:bottom w:val="single" w:sz="8" w:space="0" w:color="000000"/>
              <w:right w:val="single" w:sz="8" w:space="0" w:color="000000"/>
            </w:tcBorders>
            <w:shd w:val="clear" w:color="000000" w:fill="D9D9D9"/>
            <w:vAlign w:val="center"/>
            <w:hideMark/>
          </w:tcPr>
          <w:p w:rsidR="00AC616F" w:rsidRPr="00AC616F" w:rsidRDefault="00AC616F" w:rsidP="00AC616F">
            <w:pPr>
              <w:jc w:val="right"/>
              <w:rPr>
                <w:rFonts w:cs="Arial"/>
                <w:b/>
                <w:bCs/>
                <w:color w:val="000000"/>
                <w:lang w:eastAsia="en-GB"/>
              </w:rPr>
            </w:pPr>
            <w:r w:rsidRPr="00AC616F">
              <w:rPr>
                <w:rFonts w:cs="Arial"/>
                <w:b/>
                <w:bCs/>
                <w:color w:val="000000"/>
                <w:lang w:eastAsia="en-GB"/>
              </w:rPr>
              <w:t>64</w:t>
            </w:r>
          </w:p>
        </w:tc>
      </w:tr>
      <w:tr w:rsidR="00AC616F" w:rsidRPr="00AC616F" w:rsidTr="00AC616F">
        <w:trPr>
          <w:trHeight w:val="315"/>
        </w:trPr>
        <w:tc>
          <w:tcPr>
            <w:tcW w:w="2180" w:type="dxa"/>
            <w:tcBorders>
              <w:top w:val="nil"/>
              <w:left w:val="single" w:sz="8" w:space="0" w:color="000000"/>
              <w:bottom w:val="single" w:sz="8" w:space="0" w:color="000000"/>
              <w:right w:val="single" w:sz="8" w:space="0" w:color="000000"/>
            </w:tcBorders>
            <w:shd w:val="clear" w:color="auto" w:fill="auto"/>
            <w:noWrap/>
            <w:vAlign w:val="center"/>
            <w:hideMark/>
          </w:tcPr>
          <w:p w:rsidR="00AC616F" w:rsidRPr="00AC616F" w:rsidRDefault="00AC616F" w:rsidP="00AC616F">
            <w:pPr>
              <w:rPr>
                <w:rFonts w:cs="Arial"/>
                <w:color w:val="000000"/>
                <w:lang w:eastAsia="en-GB"/>
              </w:rPr>
            </w:pPr>
            <w:r w:rsidRPr="00AC616F">
              <w:rPr>
                <w:rFonts w:cs="Arial"/>
                <w:color w:val="000000"/>
                <w:lang w:eastAsia="en-GB"/>
              </w:rPr>
              <w:t>New risks in quarter</w:t>
            </w:r>
          </w:p>
        </w:tc>
        <w:tc>
          <w:tcPr>
            <w:tcW w:w="1120" w:type="dxa"/>
            <w:tcBorders>
              <w:top w:val="nil"/>
              <w:left w:val="nil"/>
              <w:bottom w:val="single" w:sz="8" w:space="0" w:color="000000"/>
              <w:right w:val="single" w:sz="8" w:space="0" w:color="000000"/>
            </w:tcBorders>
            <w:shd w:val="clear" w:color="auto" w:fill="auto"/>
            <w:vAlign w:val="center"/>
            <w:hideMark/>
          </w:tcPr>
          <w:p w:rsidR="00AC616F" w:rsidRPr="00AC616F" w:rsidRDefault="00AC616F" w:rsidP="00AC616F">
            <w:pPr>
              <w:jc w:val="right"/>
              <w:rPr>
                <w:rFonts w:cs="Arial"/>
                <w:color w:val="000000"/>
                <w:lang w:eastAsia="en-GB"/>
              </w:rPr>
            </w:pPr>
            <w:r w:rsidRPr="00AC616F">
              <w:rPr>
                <w:rFonts w:cs="Arial"/>
                <w:color w:val="000000"/>
                <w:lang w:eastAsia="en-GB"/>
              </w:rPr>
              <w:t>0</w:t>
            </w:r>
          </w:p>
        </w:tc>
        <w:tc>
          <w:tcPr>
            <w:tcW w:w="1120" w:type="dxa"/>
            <w:tcBorders>
              <w:top w:val="nil"/>
              <w:left w:val="nil"/>
              <w:bottom w:val="single" w:sz="8" w:space="0" w:color="000000"/>
              <w:right w:val="single" w:sz="8" w:space="0" w:color="000000"/>
            </w:tcBorders>
            <w:shd w:val="clear" w:color="auto" w:fill="auto"/>
            <w:vAlign w:val="center"/>
            <w:hideMark/>
          </w:tcPr>
          <w:p w:rsidR="00AC616F" w:rsidRPr="00AC616F" w:rsidRDefault="00AC616F" w:rsidP="00AC616F">
            <w:pPr>
              <w:jc w:val="right"/>
              <w:rPr>
                <w:rFonts w:cs="Arial"/>
                <w:color w:val="000000"/>
                <w:lang w:eastAsia="en-GB"/>
              </w:rPr>
            </w:pPr>
            <w:r w:rsidRPr="00AC616F">
              <w:rPr>
                <w:rFonts w:cs="Arial"/>
                <w:color w:val="000000"/>
                <w:lang w:eastAsia="en-GB"/>
              </w:rPr>
              <w:t>0</w:t>
            </w:r>
          </w:p>
        </w:tc>
        <w:tc>
          <w:tcPr>
            <w:tcW w:w="1120" w:type="dxa"/>
            <w:tcBorders>
              <w:top w:val="nil"/>
              <w:left w:val="nil"/>
              <w:bottom w:val="single" w:sz="8" w:space="0" w:color="000000"/>
              <w:right w:val="single" w:sz="8" w:space="0" w:color="000000"/>
            </w:tcBorders>
            <w:shd w:val="clear" w:color="auto" w:fill="auto"/>
            <w:vAlign w:val="center"/>
            <w:hideMark/>
          </w:tcPr>
          <w:p w:rsidR="00AC616F" w:rsidRPr="00AC616F" w:rsidRDefault="00AC616F" w:rsidP="00AC616F">
            <w:pPr>
              <w:jc w:val="right"/>
              <w:rPr>
                <w:rFonts w:cs="Arial"/>
                <w:color w:val="000000"/>
                <w:lang w:eastAsia="en-GB"/>
              </w:rPr>
            </w:pPr>
            <w:r w:rsidRPr="00AC616F">
              <w:rPr>
                <w:rFonts w:cs="Arial"/>
                <w:color w:val="000000"/>
                <w:lang w:eastAsia="en-GB"/>
              </w:rPr>
              <w:t> </w:t>
            </w:r>
          </w:p>
        </w:tc>
        <w:tc>
          <w:tcPr>
            <w:tcW w:w="1120" w:type="dxa"/>
            <w:tcBorders>
              <w:top w:val="nil"/>
              <w:left w:val="nil"/>
              <w:bottom w:val="single" w:sz="8" w:space="0" w:color="000000"/>
              <w:right w:val="single" w:sz="8" w:space="0" w:color="000000"/>
            </w:tcBorders>
            <w:shd w:val="clear" w:color="auto" w:fill="auto"/>
            <w:vAlign w:val="center"/>
            <w:hideMark/>
          </w:tcPr>
          <w:p w:rsidR="00AC616F" w:rsidRPr="00AC616F" w:rsidRDefault="00AC616F" w:rsidP="00AC616F">
            <w:pPr>
              <w:jc w:val="right"/>
              <w:rPr>
                <w:rFonts w:cs="Arial"/>
                <w:color w:val="000000"/>
                <w:lang w:eastAsia="en-GB"/>
              </w:rPr>
            </w:pPr>
            <w:r w:rsidRPr="00AC616F">
              <w:rPr>
                <w:rFonts w:cs="Arial"/>
                <w:color w:val="000000"/>
                <w:lang w:eastAsia="en-GB"/>
              </w:rPr>
              <w:t>1</w:t>
            </w:r>
          </w:p>
        </w:tc>
        <w:tc>
          <w:tcPr>
            <w:tcW w:w="1120" w:type="dxa"/>
            <w:tcBorders>
              <w:top w:val="nil"/>
              <w:left w:val="nil"/>
              <w:bottom w:val="single" w:sz="8" w:space="0" w:color="000000"/>
              <w:right w:val="single" w:sz="8" w:space="0" w:color="000000"/>
            </w:tcBorders>
            <w:shd w:val="clear" w:color="000000" w:fill="D9D9D9"/>
            <w:vAlign w:val="center"/>
            <w:hideMark/>
          </w:tcPr>
          <w:p w:rsidR="00AC616F" w:rsidRPr="00AC616F" w:rsidRDefault="00AC616F" w:rsidP="00AC616F">
            <w:pPr>
              <w:jc w:val="right"/>
              <w:rPr>
                <w:rFonts w:cs="Arial"/>
                <w:color w:val="000000"/>
                <w:lang w:eastAsia="en-GB"/>
              </w:rPr>
            </w:pPr>
            <w:r w:rsidRPr="00AC616F">
              <w:rPr>
                <w:rFonts w:cs="Arial"/>
                <w:color w:val="000000"/>
                <w:lang w:eastAsia="en-GB"/>
              </w:rPr>
              <w:t>2</w:t>
            </w:r>
          </w:p>
        </w:tc>
      </w:tr>
      <w:tr w:rsidR="00AC616F" w:rsidRPr="00AC616F" w:rsidTr="00AC616F">
        <w:trPr>
          <w:trHeight w:val="315"/>
        </w:trPr>
        <w:tc>
          <w:tcPr>
            <w:tcW w:w="2180" w:type="dxa"/>
            <w:tcBorders>
              <w:top w:val="nil"/>
              <w:left w:val="single" w:sz="8" w:space="0" w:color="000000"/>
              <w:bottom w:val="single" w:sz="8" w:space="0" w:color="000000"/>
              <w:right w:val="single" w:sz="8" w:space="0" w:color="000000"/>
            </w:tcBorders>
            <w:shd w:val="clear" w:color="auto" w:fill="auto"/>
            <w:noWrap/>
            <w:vAlign w:val="center"/>
            <w:hideMark/>
          </w:tcPr>
          <w:p w:rsidR="00AC616F" w:rsidRPr="00AC616F" w:rsidRDefault="00AC616F" w:rsidP="00AC616F">
            <w:pPr>
              <w:rPr>
                <w:rFonts w:cs="Arial"/>
                <w:color w:val="000000"/>
                <w:lang w:eastAsia="en-GB"/>
              </w:rPr>
            </w:pPr>
            <w:r w:rsidRPr="00AC616F">
              <w:rPr>
                <w:rFonts w:cs="Arial"/>
                <w:color w:val="000000"/>
                <w:lang w:eastAsia="en-GB"/>
              </w:rPr>
              <w:t>Closed</w:t>
            </w:r>
          </w:p>
        </w:tc>
        <w:tc>
          <w:tcPr>
            <w:tcW w:w="1120" w:type="dxa"/>
            <w:tcBorders>
              <w:top w:val="nil"/>
              <w:left w:val="nil"/>
              <w:bottom w:val="single" w:sz="8" w:space="0" w:color="000000"/>
              <w:right w:val="single" w:sz="8" w:space="0" w:color="000000"/>
            </w:tcBorders>
            <w:shd w:val="clear" w:color="auto" w:fill="auto"/>
            <w:vAlign w:val="center"/>
            <w:hideMark/>
          </w:tcPr>
          <w:p w:rsidR="00AC616F" w:rsidRPr="00AC616F" w:rsidRDefault="00AC616F" w:rsidP="00AC616F">
            <w:pPr>
              <w:jc w:val="right"/>
              <w:rPr>
                <w:rFonts w:cs="Arial"/>
                <w:color w:val="000000"/>
                <w:lang w:eastAsia="en-GB"/>
              </w:rPr>
            </w:pPr>
            <w:r w:rsidRPr="00AC616F">
              <w:rPr>
                <w:rFonts w:cs="Arial"/>
                <w:color w:val="000000"/>
                <w:lang w:eastAsia="en-GB"/>
              </w:rPr>
              <w:t>4</w:t>
            </w:r>
          </w:p>
        </w:tc>
        <w:tc>
          <w:tcPr>
            <w:tcW w:w="1120" w:type="dxa"/>
            <w:tcBorders>
              <w:top w:val="nil"/>
              <w:left w:val="nil"/>
              <w:bottom w:val="single" w:sz="8" w:space="0" w:color="000000"/>
              <w:right w:val="single" w:sz="8" w:space="0" w:color="000000"/>
            </w:tcBorders>
            <w:shd w:val="clear" w:color="auto" w:fill="auto"/>
            <w:vAlign w:val="center"/>
            <w:hideMark/>
          </w:tcPr>
          <w:p w:rsidR="00AC616F" w:rsidRPr="00AC616F" w:rsidRDefault="00AC616F" w:rsidP="00AC616F">
            <w:pPr>
              <w:jc w:val="right"/>
              <w:rPr>
                <w:rFonts w:cs="Arial"/>
                <w:color w:val="000000"/>
                <w:lang w:eastAsia="en-GB"/>
              </w:rPr>
            </w:pPr>
            <w:r w:rsidRPr="00AC616F">
              <w:rPr>
                <w:rFonts w:cs="Arial"/>
                <w:color w:val="000000"/>
                <w:lang w:eastAsia="en-GB"/>
              </w:rPr>
              <w:t>0</w:t>
            </w:r>
          </w:p>
        </w:tc>
        <w:tc>
          <w:tcPr>
            <w:tcW w:w="1120" w:type="dxa"/>
            <w:tcBorders>
              <w:top w:val="nil"/>
              <w:left w:val="nil"/>
              <w:bottom w:val="single" w:sz="8" w:space="0" w:color="000000"/>
              <w:right w:val="single" w:sz="8" w:space="0" w:color="000000"/>
            </w:tcBorders>
            <w:shd w:val="clear" w:color="auto" w:fill="auto"/>
            <w:vAlign w:val="center"/>
            <w:hideMark/>
          </w:tcPr>
          <w:p w:rsidR="00AC616F" w:rsidRPr="00AC616F" w:rsidRDefault="00AC616F" w:rsidP="00AC616F">
            <w:pPr>
              <w:jc w:val="right"/>
              <w:rPr>
                <w:rFonts w:cs="Arial"/>
                <w:color w:val="000000"/>
                <w:lang w:eastAsia="en-GB"/>
              </w:rPr>
            </w:pPr>
            <w:r w:rsidRPr="00AC616F">
              <w:rPr>
                <w:rFonts w:cs="Arial"/>
                <w:color w:val="000000"/>
                <w:lang w:eastAsia="en-GB"/>
              </w:rPr>
              <w:t>3</w:t>
            </w:r>
          </w:p>
        </w:tc>
        <w:tc>
          <w:tcPr>
            <w:tcW w:w="1120" w:type="dxa"/>
            <w:tcBorders>
              <w:top w:val="nil"/>
              <w:left w:val="nil"/>
              <w:bottom w:val="single" w:sz="8" w:space="0" w:color="000000"/>
              <w:right w:val="single" w:sz="8" w:space="0" w:color="000000"/>
            </w:tcBorders>
            <w:shd w:val="clear" w:color="auto" w:fill="auto"/>
            <w:vAlign w:val="center"/>
            <w:hideMark/>
          </w:tcPr>
          <w:p w:rsidR="00AC616F" w:rsidRPr="00AC616F" w:rsidRDefault="00AC616F" w:rsidP="00AC616F">
            <w:pPr>
              <w:jc w:val="right"/>
              <w:rPr>
                <w:rFonts w:cs="Arial"/>
                <w:color w:val="000000"/>
                <w:lang w:eastAsia="en-GB"/>
              </w:rPr>
            </w:pPr>
            <w:r w:rsidRPr="00AC616F">
              <w:rPr>
                <w:rFonts w:cs="Arial"/>
                <w:color w:val="000000"/>
                <w:lang w:eastAsia="en-GB"/>
              </w:rPr>
              <w:t>4</w:t>
            </w:r>
          </w:p>
        </w:tc>
        <w:tc>
          <w:tcPr>
            <w:tcW w:w="1120" w:type="dxa"/>
            <w:tcBorders>
              <w:top w:val="nil"/>
              <w:left w:val="nil"/>
              <w:bottom w:val="single" w:sz="8" w:space="0" w:color="000000"/>
              <w:right w:val="single" w:sz="8" w:space="0" w:color="000000"/>
            </w:tcBorders>
            <w:shd w:val="clear" w:color="000000" w:fill="D9D9D9"/>
            <w:vAlign w:val="center"/>
            <w:hideMark/>
          </w:tcPr>
          <w:p w:rsidR="00AC616F" w:rsidRPr="00AC616F" w:rsidRDefault="00AC616F" w:rsidP="00AC616F">
            <w:pPr>
              <w:jc w:val="right"/>
              <w:rPr>
                <w:rFonts w:cs="Arial"/>
                <w:color w:val="000000"/>
                <w:lang w:eastAsia="en-GB"/>
              </w:rPr>
            </w:pPr>
            <w:r w:rsidRPr="00AC616F">
              <w:rPr>
                <w:rFonts w:cs="Arial"/>
                <w:color w:val="000000"/>
                <w:lang w:eastAsia="en-GB"/>
              </w:rPr>
              <w:t>9</w:t>
            </w:r>
          </w:p>
        </w:tc>
      </w:tr>
    </w:tbl>
    <w:p w:rsidR="00AC616F" w:rsidRDefault="00AC616F" w:rsidP="000C7E80">
      <w:pPr>
        <w:pStyle w:val="ListParagraph"/>
        <w:rPr>
          <w:rFonts w:cs="Arial"/>
        </w:rPr>
      </w:pPr>
    </w:p>
    <w:p w:rsidR="007F6E5E" w:rsidRDefault="007F6E5E" w:rsidP="000C7E80">
      <w:pPr>
        <w:pStyle w:val="ListParagraph"/>
        <w:rPr>
          <w:rFonts w:cs="Arial"/>
        </w:rPr>
      </w:pPr>
    </w:p>
    <w:p w:rsidR="000116FF" w:rsidRPr="00BF0264" w:rsidRDefault="000116FF" w:rsidP="00A32A7B">
      <w:pPr>
        <w:numPr>
          <w:ilvl w:val="0"/>
          <w:numId w:val="1"/>
        </w:numPr>
        <w:ind w:left="426" w:hanging="426"/>
        <w:rPr>
          <w:rFonts w:cs="Arial"/>
        </w:rPr>
      </w:pPr>
      <w:r w:rsidRPr="00BF0264">
        <w:rPr>
          <w:rFonts w:cs="Arial"/>
        </w:rPr>
        <w:t>There w</w:t>
      </w:r>
      <w:r w:rsidR="00993A4E" w:rsidRPr="00BF0264">
        <w:rPr>
          <w:rFonts w:cs="Arial"/>
        </w:rPr>
        <w:t>ere</w:t>
      </w:r>
      <w:r w:rsidR="00463E24" w:rsidRPr="00BF0264">
        <w:rPr>
          <w:rFonts w:cs="Arial"/>
        </w:rPr>
        <w:t xml:space="preserve"> </w:t>
      </w:r>
      <w:r w:rsidR="00B227BD">
        <w:rPr>
          <w:rFonts w:cs="Arial"/>
        </w:rPr>
        <w:t>four</w:t>
      </w:r>
      <w:r w:rsidR="00B227BD" w:rsidRPr="00BF0264">
        <w:rPr>
          <w:rFonts w:cs="Arial"/>
        </w:rPr>
        <w:t xml:space="preserve"> </w:t>
      </w:r>
      <w:r w:rsidRPr="00BF0264">
        <w:rPr>
          <w:rFonts w:cs="Arial"/>
        </w:rPr>
        <w:t xml:space="preserve">red risks at </w:t>
      </w:r>
      <w:r w:rsidR="00463E24" w:rsidRPr="00BF0264">
        <w:rPr>
          <w:rFonts w:cs="Arial"/>
        </w:rPr>
        <w:t xml:space="preserve">the end of </w:t>
      </w:r>
      <w:r w:rsidR="00993A4E" w:rsidRPr="00BF0264">
        <w:rPr>
          <w:rFonts w:cs="Arial"/>
        </w:rPr>
        <w:t>September</w:t>
      </w:r>
      <w:r w:rsidR="00463E24" w:rsidRPr="00BF0264">
        <w:rPr>
          <w:rFonts w:cs="Arial"/>
        </w:rPr>
        <w:t xml:space="preserve"> </w:t>
      </w:r>
      <w:r w:rsidR="007F6E5E">
        <w:rPr>
          <w:rFonts w:cs="Arial"/>
        </w:rPr>
        <w:t>20</w:t>
      </w:r>
      <w:r w:rsidR="00463E24" w:rsidRPr="00BF0264">
        <w:rPr>
          <w:rFonts w:cs="Arial"/>
        </w:rPr>
        <w:t>15</w:t>
      </w:r>
      <w:r w:rsidRPr="00BF0264">
        <w:rPr>
          <w:rFonts w:cs="Arial"/>
        </w:rPr>
        <w:t xml:space="preserve"> as follows: -</w:t>
      </w:r>
    </w:p>
    <w:p w:rsidR="00993A4E" w:rsidRPr="00BF0264" w:rsidRDefault="00993A4E" w:rsidP="00B227BD">
      <w:pPr>
        <w:pStyle w:val="ListParagraph"/>
        <w:numPr>
          <w:ilvl w:val="0"/>
          <w:numId w:val="23"/>
        </w:numPr>
        <w:ind w:left="426"/>
        <w:rPr>
          <w:rFonts w:cs="Arial"/>
        </w:rPr>
      </w:pPr>
      <w:r w:rsidRPr="00BF0264">
        <w:rPr>
          <w:rFonts w:cs="Arial"/>
        </w:rPr>
        <w:t>Housing and Property – relating to increased costs of homelessness</w:t>
      </w:r>
      <w:r w:rsidR="00BF0264" w:rsidRPr="00BF0264">
        <w:rPr>
          <w:rFonts w:cs="Arial"/>
          <w:sz w:val="22"/>
          <w:szCs w:val="22"/>
          <w:lang w:eastAsia="en-GB"/>
        </w:rPr>
        <w:t xml:space="preserve"> </w:t>
      </w:r>
      <w:r w:rsidR="00BF0264" w:rsidRPr="00BF0264">
        <w:rPr>
          <w:rFonts w:cs="Arial"/>
        </w:rPr>
        <w:t>arising from less effective homelessness prevention work and higher homelessness acceptance</w:t>
      </w:r>
    </w:p>
    <w:p w:rsidR="00993A4E" w:rsidRPr="00BF0264" w:rsidRDefault="00993A4E" w:rsidP="00B227BD">
      <w:pPr>
        <w:pStyle w:val="ListParagraph"/>
        <w:numPr>
          <w:ilvl w:val="0"/>
          <w:numId w:val="23"/>
        </w:numPr>
        <w:ind w:left="426"/>
        <w:rPr>
          <w:rFonts w:cs="Arial"/>
        </w:rPr>
      </w:pPr>
      <w:r w:rsidRPr="00BF0264">
        <w:rPr>
          <w:rFonts w:cs="Arial"/>
        </w:rPr>
        <w:t xml:space="preserve">Housing and Property – relating to </w:t>
      </w:r>
      <w:r w:rsidR="00BF0264" w:rsidRPr="00BF0264">
        <w:rPr>
          <w:rFonts w:cs="Arial"/>
        </w:rPr>
        <w:t xml:space="preserve">HRA </w:t>
      </w:r>
      <w:r w:rsidR="00044EED">
        <w:rPr>
          <w:rFonts w:cs="Arial"/>
        </w:rPr>
        <w:t>B</w:t>
      </w:r>
      <w:r w:rsidR="00BF0264" w:rsidRPr="00BF0264">
        <w:rPr>
          <w:rFonts w:cs="Arial"/>
        </w:rPr>
        <w:t xml:space="preserve">usiness </w:t>
      </w:r>
      <w:r w:rsidR="00044EED">
        <w:rPr>
          <w:rFonts w:cs="Arial"/>
        </w:rPr>
        <w:t>P</w:t>
      </w:r>
      <w:r w:rsidR="00BF0264" w:rsidRPr="00BF0264">
        <w:rPr>
          <w:rFonts w:cs="Arial"/>
        </w:rPr>
        <w:t xml:space="preserve">lan failure and </w:t>
      </w:r>
      <w:r w:rsidR="00044EED">
        <w:rPr>
          <w:rFonts w:cs="Arial"/>
        </w:rPr>
        <w:t xml:space="preserve">the implications for </w:t>
      </w:r>
      <w:r w:rsidR="00BF0264" w:rsidRPr="00BF0264">
        <w:rPr>
          <w:rFonts w:cs="Arial"/>
        </w:rPr>
        <w:t>social housing arising from the announcements contained in the Chancellor’s Summer Budget in July.  Changes that are required to be made to the HRA Business Plan to mitigate the pressures will be determined through the budget setting cycle which is underway.</w:t>
      </w:r>
    </w:p>
    <w:p w:rsidR="00993A4E" w:rsidRPr="00BF0264" w:rsidRDefault="00BF0264" w:rsidP="00B227BD">
      <w:pPr>
        <w:pStyle w:val="ListParagraph"/>
        <w:numPr>
          <w:ilvl w:val="0"/>
          <w:numId w:val="23"/>
        </w:numPr>
        <w:ind w:left="426"/>
        <w:rPr>
          <w:rFonts w:cs="Arial"/>
        </w:rPr>
      </w:pPr>
      <w:r w:rsidRPr="00BF0264">
        <w:rPr>
          <w:rFonts w:cs="Arial"/>
        </w:rPr>
        <w:t xml:space="preserve">Planning and Regulatory – relating to a major service failure due to a </w:t>
      </w:r>
      <w:r w:rsidR="00AC616F">
        <w:rPr>
          <w:rFonts w:cs="Arial"/>
        </w:rPr>
        <w:t xml:space="preserve">reduction in staff or premises availability or </w:t>
      </w:r>
      <w:r w:rsidRPr="00BF0264">
        <w:rPr>
          <w:rFonts w:cs="Arial"/>
        </w:rPr>
        <w:t>significant loss of ICT resulting in a reduced service to customers and a backlog of work to be cleared</w:t>
      </w:r>
    </w:p>
    <w:p w:rsidR="000116FF" w:rsidRDefault="000116FF" w:rsidP="00B227BD">
      <w:pPr>
        <w:ind w:left="426"/>
        <w:rPr>
          <w:rFonts w:cs="Arial"/>
        </w:rPr>
      </w:pPr>
      <w:r w:rsidRPr="00B227BD">
        <w:rPr>
          <w:rFonts w:cs="Arial"/>
        </w:rPr>
        <w:t xml:space="preserve">Direct Services </w:t>
      </w:r>
      <w:r w:rsidR="00CE493A" w:rsidRPr="00B227BD">
        <w:rPr>
          <w:rFonts w:cs="Arial"/>
        </w:rPr>
        <w:t xml:space="preserve">- </w:t>
      </w:r>
      <w:r w:rsidRPr="00B227BD">
        <w:rPr>
          <w:rFonts w:cs="Arial"/>
        </w:rPr>
        <w:t xml:space="preserve">relating to </w:t>
      </w:r>
      <w:r w:rsidR="00BF0264" w:rsidRPr="00B227BD">
        <w:rPr>
          <w:rFonts w:cs="Arial"/>
        </w:rPr>
        <w:t xml:space="preserve">the ICT </w:t>
      </w:r>
      <w:r w:rsidR="00D55B7F">
        <w:rPr>
          <w:rFonts w:cs="Arial"/>
        </w:rPr>
        <w:t xml:space="preserve">issues </w:t>
      </w:r>
      <w:r w:rsidR="00BF0264" w:rsidRPr="00B227BD">
        <w:rPr>
          <w:rFonts w:cs="Arial"/>
        </w:rPr>
        <w:t>affecting the delivery of the service, causing additional manual processing and impacting on customer relations with the consequent risks to income generation going forward</w:t>
      </w:r>
      <w:r w:rsidR="00B227BD" w:rsidRPr="00B227BD">
        <w:rPr>
          <w:rFonts w:cs="Arial"/>
        </w:rPr>
        <w:t xml:space="preserve">.  Since Q2 there have been a number of mitigating actions put in place by ICT which </w:t>
      </w:r>
      <w:r w:rsidR="00B227BD">
        <w:rPr>
          <w:rFonts w:cs="Arial"/>
        </w:rPr>
        <w:t xml:space="preserve">should result in a </w:t>
      </w:r>
      <w:r w:rsidR="00567018">
        <w:rPr>
          <w:rFonts w:cs="Arial"/>
        </w:rPr>
        <w:t>downgrading</w:t>
      </w:r>
      <w:r w:rsidR="00B227BD">
        <w:rPr>
          <w:rFonts w:cs="Arial"/>
        </w:rPr>
        <w:t xml:space="preserve"> of the risk for Q3</w:t>
      </w:r>
    </w:p>
    <w:p w:rsidR="000656DC" w:rsidRPr="00B227BD" w:rsidRDefault="000656DC" w:rsidP="00B227BD">
      <w:pPr>
        <w:ind w:left="426"/>
        <w:rPr>
          <w:rFonts w:cs="Arial"/>
        </w:rPr>
      </w:pPr>
    </w:p>
    <w:p w:rsidR="006D7D0D" w:rsidRPr="006D7D0D" w:rsidRDefault="006D7D0D" w:rsidP="00966BBE">
      <w:pPr>
        <w:ind w:left="426"/>
        <w:rPr>
          <w:rFonts w:cs="Arial"/>
          <w:u w:val="single"/>
        </w:rPr>
      </w:pPr>
      <w:r w:rsidRPr="006D7D0D">
        <w:rPr>
          <w:rFonts w:cs="Arial"/>
          <w:u w:val="single"/>
        </w:rPr>
        <w:t>Service Area Risk Summary</w:t>
      </w:r>
    </w:p>
    <w:p w:rsidR="008919F7" w:rsidRDefault="006D7D0D" w:rsidP="00A32A7B">
      <w:pPr>
        <w:numPr>
          <w:ilvl w:val="0"/>
          <w:numId w:val="1"/>
        </w:numPr>
        <w:ind w:left="426" w:hanging="426"/>
        <w:rPr>
          <w:rFonts w:cs="Arial"/>
        </w:rPr>
      </w:pPr>
      <w:r w:rsidRPr="006D7D0D">
        <w:rPr>
          <w:rFonts w:cs="Arial"/>
        </w:rPr>
        <w:t>The table below shows the how the service area risks have been scored in accordance to the risk matrix.</w:t>
      </w:r>
      <w:r w:rsidR="0047431D">
        <w:rPr>
          <w:rFonts w:cs="Arial"/>
        </w:rPr>
        <w:t xml:space="preserve">  The risk </w:t>
      </w:r>
      <w:r w:rsidR="004F7B45">
        <w:rPr>
          <w:rFonts w:cs="Arial"/>
        </w:rPr>
        <w:t>with the potential for a catastrophic impact is related to the loss of an investment due to issues with a counterparty; the likelihood of the risk occurring has been managed down to unlikely.</w:t>
      </w:r>
    </w:p>
    <w:p w:rsidR="000656DC" w:rsidRDefault="000656DC">
      <w:pPr>
        <w:rPr>
          <w:rFonts w:cs="Arial"/>
        </w:rPr>
      </w:pPr>
      <w:r>
        <w:rPr>
          <w:rFonts w:cs="Arial"/>
        </w:rPr>
        <w:br w:type="page"/>
      </w:r>
    </w:p>
    <w:p w:rsidR="008919F7" w:rsidRDefault="008919F7" w:rsidP="008919F7">
      <w:pPr>
        <w:pStyle w:val="ListParagraph"/>
        <w:ind w:left="426"/>
        <w:rPr>
          <w:rFonts w:cs="Arial"/>
        </w:rPr>
      </w:pPr>
    </w:p>
    <w:tbl>
      <w:tblPr>
        <w:tblW w:w="8940" w:type="dxa"/>
        <w:tblInd w:w="93" w:type="dxa"/>
        <w:tblLook w:val="04A0" w:firstRow="1" w:lastRow="0" w:firstColumn="1" w:lastColumn="0" w:noHBand="0" w:noVBand="1"/>
      </w:tblPr>
      <w:tblGrid>
        <w:gridCol w:w="1660"/>
        <w:gridCol w:w="1600"/>
        <w:gridCol w:w="1340"/>
        <w:gridCol w:w="1340"/>
        <w:gridCol w:w="1340"/>
        <w:gridCol w:w="1660"/>
      </w:tblGrid>
      <w:tr w:rsidR="00B227BD" w:rsidRPr="00B227BD" w:rsidTr="00B227BD">
        <w:trPr>
          <w:trHeight w:val="585"/>
        </w:trPr>
        <w:tc>
          <w:tcPr>
            <w:tcW w:w="1660" w:type="dxa"/>
            <w:tcBorders>
              <w:top w:val="single" w:sz="12" w:space="0" w:color="auto"/>
              <w:left w:val="single" w:sz="12" w:space="0" w:color="auto"/>
              <w:bottom w:val="single" w:sz="4" w:space="0" w:color="auto"/>
              <w:right w:val="nil"/>
            </w:tcBorders>
            <w:shd w:val="clear" w:color="auto" w:fill="auto"/>
            <w:vAlign w:val="center"/>
            <w:hideMark/>
          </w:tcPr>
          <w:p w:rsidR="00B227BD" w:rsidRPr="00B227BD" w:rsidRDefault="00B227BD" w:rsidP="00B227BD">
            <w:pPr>
              <w:jc w:val="right"/>
              <w:rPr>
                <w:rFonts w:ascii="Verdana" w:hAnsi="Verdana" w:cs="Calibri"/>
                <w:b/>
                <w:bCs/>
                <w:color w:val="000000"/>
                <w:sz w:val="22"/>
                <w:szCs w:val="22"/>
                <w:lang w:eastAsia="en-GB"/>
              </w:rPr>
            </w:pPr>
            <w:r w:rsidRPr="00B227BD">
              <w:rPr>
                <w:rFonts w:ascii="Verdana" w:hAnsi="Verdana" w:cs="Calibri"/>
                <w:b/>
                <w:bCs/>
                <w:color w:val="000000"/>
                <w:sz w:val="22"/>
                <w:szCs w:val="22"/>
                <w:lang w:eastAsia="en-GB"/>
              </w:rPr>
              <w:t>Current</w:t>
            </w:r>
            <w:r w:rsidRPr="00B227BD">
              <w:rPr>
                <w:rFonts w:ascii="Verdana" w:hAnsi="Verdana" w:cs="Calibri"/>
                <w:b/>
                <w:bCs/>
                <w:color w:val="000000"/>
                <w:sz w:val="22"/>
                <w:szCs w:val="22"/>
                <w:lang w:eastAsia="en-GB"/>
              </w:rPr>
              <w:br/>
              <w:t>Impact</w:t>
            </w:r>
          </w:p>
        </w:tc>
        <w:tc>
          <w:tcPr>
            <w:tcW w:w="1600" w:type="dxa"/>
            <w:vMerge w:val="restart"/>
            <w:tcBorders>
              <w:top w:val="single" w:sz="12" w:space="0" w:color="auto"/>
              <w:left w:val="single" w:sz="4" w:space="0" w:color="auto"/>
              <w:bottom w:val="single" w:sz="4" w:space="0" w:color="000000"/>
              <w:right w:val="nil"/>
            </w:tcBorders>
            <w:shd w:val="clear" w:color="auto" w:fill="auto"/>
            <w:vAlign w:val="center"/>
            <w:hideMark/>
          </w:tcPr>
          <w:p w:rsidR="00B227BD" w:rsidRPr="00B227BD" w:rsidRDefault="00B227BD" w:rsidP="00B227BD">
            <w:pPr>
              <w:jc w:val="center"/>
              <w:rPr>
                <w:rFonts w:ascii="Verdana" w:hAnsi="Verdana" w:cs="Calibri"/>
                <w:color w:val="000000"/>
                <w:sz w:val="18"/>
                <w:szCs w:val="18"/>
                <w:lang w:eastAsia="en-GB"/>
              </w:rPr>
            </w:pPr>
            <w:r w:rsidRPr="00B227BD">
              <w:rPr>
                <w:rFonts w:ascii="Verdana" w:hAnsi="Verdana" w:cs="Calibri"/>
                <w:color w:val="000000"/>
                <w:sz w:val="18"/>
                <w:szCs w:val="18"/>
                <w:lang w:eastAsia="en-GB"/>
              </w:rPr>
              <w:t xml:space="preserve">Insignificant </w:t>
            </w:r>
            <w:r w:rsidRPr="00B227BD">
              <w:rPr>
                <w:rFonts w:ascii="Verdana" w:hAnsi="Verdana" w:cs="Calibri"/>
                <w:color w:val="000000"/>
                <w:sz w:val="18"/>
                <w:szCs w:val="18"/>
                <w:lang w:eastAsia="en-GB"/>
              </w:rPr>
              <w:br/>
              <w:t>(1)</w:t>
            </w:r>
          </w:p>
        </w:tc>
        <w:tc>
          <w:tcPr>
            <w:tcW w:w="1340" w:type="dxa"/>
            <w:vMerge w:val="restart"/>
            <w:tcBorders>
              <w:top w:val="single" w:sz="12" w:space="0" w:color="auto"/>
              <w:left w:val="nil"/>
              <w:bottom w:val="single" w:sz="4" w:space="0" w:color="000000"/>
              <w:right w:val="nil"/>
            </w:tcBorders>
            <w:shd w:val="clear" w:color="auto" w:fill="auto"/>
            <w:vAlign w:val="center"/>
            <w:hideMark/>
          </w:tcPr>
          <w:p w:rsidR="00B227BD" w:rsidRPr="00B227BD" w:rsidRDefault="00B227BD" w:rsidP="00B227BD">
            <w:pPr>
              <w:jc w:val="center"/>
              <w:rPr>
                <w:rFonts w:ascii="Verdana" w:hAnsi="Verdana" w:cs="Calibri"/>
                <w:color w:val="000000"/>
                <w:sz w:val="18"/>
                <w:szCs w:val="18"/>
                <w:lang w:eastAsia="en-GB"/>
              </w:rPr>
            </w:pPr>
            <w:r w:rsidRPr="00B227BD">
              <w:rPr>
                <w:rFonts w:ascii="Verdana" w:hAnsi="Verdana" w:cs="Calibri"/>
                <w:color w:val="000000"/>
                <w:sz w:val="18"/>
                <w:szCs w:val="18"/>
                <w:lang w:eastAsia="en-GB"/>
              </w:rPr>
              <w:t xml:space="preserve">Minor </w:t>
            </w:r>
            <w:r w:rsidRPr="00B227BD">
              <w:rPr>
                <w:rFonts w:ascii="Verdana" w:hAnsi="Verdana" w:cs="Calibri"/>
                <w:color w:val="000000"/>
                <w:sz w:val="18"/>
                <w:szCs w:val="18"/>
                <w:lang w:eastAsia="en-GB"/>
              </w:rPr>
              <w:br/>
              <w:t>(2)</w:t>
            </w:r>
          </w:p>
        </w:tc>
        <w:tc>
          <w:tcPr>
            <w:tcW w:w="1340" w:type="dxa"/>
            <w:vMerge w:val="restart"/>
            <w:tcBorders>
              <w:top w:val="single" w:sz="12" w:space="0" w:color="auto"/>
              <w:left w:val="nil"/>
              <w:bottom w:val="single" w:sz="4" w:space="0" w:color="000000"/>
              <w:right w:val="nil"/>
            </w:tcBorders>
            <w:shd w:val="clear" w:color="auto" w:fill="auto"/>
            <w:vAlign w:val="center"/>
            <w:hideMark/>
          </w:tcPr>
          <w:p w:rsidR="00B227BD" w:rsidRPr="00B227BD" w:rsidRDefault="00B227BD" w:rsidP="00B227BD">
            <w:pPr>
              <w:jc w:val="center"/>
              <w:rPr>
                <w:rFonts w:ascii="Verdana" w:hAnsi="Verdana" w:cs="Calibri"/>
                <w:color w:val="000000"/>
                <w:sz w:val="18"/>
                <w:szCs w:val="18"/>
                <w:lang w:eastAsia="en-GB"/>
              </w:rPr>
            </w:pPr>
            <w:r w:rsidRPr="00B227BD">
              <w:rPr>
                <w:rFonts w:ascii="Verdana" w:hAnsi="Verdana" w:cs="Calibri"/>
                <w:color w:val="000000"/>
                <w:sz w:val="18"/>
                <w:szCs w:val="18"/>
                <w:lang w:eastAsia="en-GB"/>
              </w:rPr>
              <w:t xml:space="preserve">Moderate </w:t>
            </w:r>
            <w:r w:rsidRPr="00B227BD">
              <w:rPr>
                <w:rFonts w:ascii="Verdana" w:hAnsi="Verdana" w:cs="Calibri"/>
                <w:color w:val="000000"/>
                <w:sz w:val="18"/>
                <w:szCs w:val="18"/>
                <w:lang w:eastAsia="en-GB"/>
              </w:rPr>
              <w:br/>
              <w:t>(3)</w:t>
            </w:r>
          </w:p>
        </w:tc>
        <w:tc>
          <w:tcPr>
            <w:tcW w:w="1340" w:type="dxa"/>
            <w:vMerge w:val="restart"/>
            <w:tcBorders>
              <w:top w:val="single" w:sz="12" w:space="0" w:color="auto"/>
              <w:left w:val="nil"/>
              <w:bottom w:val="single" w:sz="4" w:space="0" w:color="000000"/>
              <w:right w:val="nil"/>
            </w:tcBorders>
            <w:shd w:val="clear" w:color="auto" w:fill="auto"/>
            <w:vAlign w:val="center"/>
            <w:hideMark/>
          </w:tcPr>
          <w:p w:rsidR="00B227BD" w:rsidRPr="00B227BD" w:rsidRDefault="00B227BD" w:rsidP="00B227BD">
            <w:pPr>
              <w:jc w:val="center"/>
              <w:rPr>
                <w:rFonts w:ascii="Verdana" w:hAnsi="Verdana" w:cs="Calibri"/>
                <w:color w:val="000000"/>
                <w:sz w:val="18"/>
                <w:szCs w:val="18"/>
                <w:lang w:eastAsia="en-GB"/>
              </w:rPr>
            </w:pPr>
            <w:r w:rsidRPr="00B227BD">
              <w:rPr>
                <w:rFonts w:ascii="Verdana" w:hAnsi="Verdana" w:cs="Calibri"/>
                <w:color w:val="000000"/>
                <w:sz w:val="18"/>
                <w:szCs w:val="18"/>
                <w:lang w:eastAsia="en-GB"/>
              </w:rPr>
              <w:t xml:space="preserve">Major </w:t>
            </w:r>
            <w:r w:rsidRPr="00B227BD">
              <w:rPr>
                <w:rFonts w:ascii="Verdana" w:hAnsi="Verdana" w:cs="Calibri"/>
                <w:color w:val="000000"/>
                <w:sz w:val="18"/>
                <w:szCs w:val="18"/>
                <w:lang w:eastAsia="en-GB"/>
              </w:rPr>
              <w:br/>
              <w:t>(4)</w:t>
            </w:r>
          </w:p>
        </w:tc>
        <w:tc>
          <w:tcPr>
            <w:tcW w:w="1660" w:type="dxa"/>
            <w:vMerge w:val="restart"/>
            <w:tcBorders>
              <w:top w:val="single" w:sz="12" w:space="0" w:color="auto"/>
              <w:left w:val="nil"/>
              <w:bottom w:val="single" w:sz="4" w:space="0" w:color="000000"/>
              <w:right w:val="single" w:sz="12" w:space="0" w:color="auto"/>
            </w:tcBorders>
            <w:shd w:val="clear" w:color="auto" w:fill="auto"/>
            <w:vAlign w:val="center"/>
            <w:hideMark/>
          </w:tcPr>
          <w:p w:rsidR="00B227BD" w:rsidRPr="00B227BD" w:rsidRDefault="00B227BD" w:rsidP="00B227BD">
            <w:pPr>
              <w:jc w:val="center"/>
              <w:rPr>
                <w:rFonts w:ascii="Verdana" w:hAnsi="Verdana" w:cs="Calibri"/>
                <w:color w:val="000000"/>
                <w:sz w:val="18"/>
                <w:szCs w:val="18"/>
                <w:lang w:eastAsia="en-GB"/>
              </w:rPr>
            </w:pPr>
            <w:r w:rsidRPr="00B227BD">
              <w:rPr>
                <w:rFonts w:ascii="Verdana" w:hAnsi="Verdana" w:cs="Calibri"/>
                <w:color w:val="000000"/>
                <w:sz w:val="18"/>
                <w:szCs w:val="18"/>
                <w:lang w:eastAsia="en-GB"/>
              </w:rPr>
              <w:t xml:space="preserve">Catastrophic </w:t>
            </w:r>
            <w:r w:rsidRPr="00B227BD">
              <w:rPr>
                <w:rFonts w:ascii="Verdana" w:hAnsi="Verdana" w:cs="Calibri"/>
                <w:color w:val="000000"/>
                <w:sz w:val="18"/>
                <w:szCs w:val="18"/>
                <w:lang w:eastAsia="en-GB"/>
              </w:rPr>
              <w:br/>
              <w:t>(5)</w:t>
            </w:r>
          </w:p>
        </w:tc>
      </w:tr>
      <w:tr w:rsidR="00B227BD" w:rsidRPr="00B227BD" w:rsidTr="00B227BD">
        <w:trPr>
          <w:trHeight w:val="570"/>
        </w:trPr>
        <w:tc>
          <w:tcPr>
            <w:tcW w:w="1660" w:type="dxa"/>
            <w:tcBorders>
              <w:top w:val="nil"/>
              <w:left w:val="single" w:sz="12" w:space="0" w:color="auto"/>
              <w:bottom w:val="nil"/>
              <w:right w:val="single" w:sz="4" w:space="0" w:color="auto"/>
            </w:tcBorders>
            <w:shd w:val="clear" w:color="auto" w:fill="auto"/>
            <w:vAlign w:val="center"/>
            <w:hideMark/>
          </w:tcPr>
          <w:p w:rsidR="00B227BD" w:rsidRPr="00B227BD" w:rsidRDefault="00B227BD" w:rsidP="00B227BD">
            <w:pPr>
              <w:rPr>
                <w:rFonts w:ascii="Verdana" w:hAnsi="Verdana" w:cs="Calibri"/>
                <w:b/>
                <w:bCs/>
                <w:color w:val="000000"/>
                <w:sz w:val="22"/>
                <w:szCs w:val="22"/>
                <w:lang w:eastAsia="en-GB"/>
              </w:rPr>
            </w:pPr>
            <w:r w:rsidRPr="00B227BD">
              <w:rPr>
                <w:rFonts w:ascii="Verdana" w:hAnsi="Verdana" w:cs="Calibri"/>
                <w:b/>
                <w:bCs/>
                <w:color w:val="000000"/>
                <w:sz w:val="22"/>
                <w:szCs w:val="22"/>
                <w:lang w:eastAsia="en-GB"/>
              </w:rPr>
              <w:t>Current</w:t>
            </w:r>
            <w:r w:rsidRPr="00B227BD">
              <w:rPr>
                <w:rFonts w:ascii="Verdana" w:hAnsi="Verdana" w:cs="Calibri"/>
                <w:b/>
                <w:bCs/>
                <w:color w:val="000000"/>
                <w:sz w:val="22"/>
                <w:szCs w:val="22"/>
                <w:lang w:eastAsia="en-GB"/>
              </w:rPr>
              <w:br/>
              <w:t>Probability</w:t>
            </w:r>
          </w:p>
        </w:tc>
        <w:tc>
          <w:tcPr>
            <w:tcW w:w="1600" w:type="dxa"/>
            <w:vMerge/>
            <w:tcBorders>
              <w:top w:val="single" w:sz="12" w:space="0" w:color="auto"/>
              <w:left w:val="single" w:sz="4" w:space="0" w:color="auto"/>
              <w:bottom w:val="single" w:sz="4" w:space="0" w:color="000000"/>
              <w:right w:val="nil"/>
            </w:tcBorders>
            <w:vAlign w:val="center"/>
            <w:hideMark/>
          </w:tcPr>
          <w:p w:rsidR="00B227BD" w:rsidRPr="00B227BD" w:rsidRDefault="00B227BD" w:rsidP="00B227BD">
            <w:pPr>
              <w:rPr>
                <w:rFonts w:ascii="Verdana" w:hAnsi="Verdana" w:cs="Calibri"/>
                <w:color w:val="000000"/>
                <w:sz w:val="18"/>
                <w:szCs w:val="18"/>
                <w:lang w:eastAsia="en-GB"/>
              </w:rPr>
            </w:pPr>
          </w:p>
        </w:tc>
        <w:tc>
          <w:tcPr>
            <w:tcW w:w="1340" w:type="dxa"/>
            <w:vMerge/>
            <w:tcBorders>
              <w:top w:val="single" w:sz="12" w:space="0" w:color="auto"/>
              <w:left w:val="nil"/>
              <w:bottom w:val="single" w:sz="4" w:space="0" w:color="000000"/>
              <w:right w:val="nil"/>
            </w:tcBorders>
            <w:vAlign w:val="center"/>
            <w:hideMark/>
          </w:tcPr>
          <w:p w:rsidR="00B227BD" w:rsidRPr="00B227BD" w:rsidRDefault="00B227BD" w:rsidP="00B227BD">
            <w:pPr>
              <w:rPr>
                <w:rFonts w:ascii="Verdana" w:hAnsi="Verdana" w:cs="Calibri"/>
                <w:color w:val="000000"/>
                <w:sz w:val="18"/>
                <w:szCs w:val="18"/>
                <w:lang w:eastAsia="en-GB"/>
              </w:rPr>
            </w:pPr>
          </w:p>
        </w:tc>
        <w:tc>
          <w:tcPr>
            <w:tcW w:w="1340" w:type="dxa"/>
            <w:vMerge/>
            <w:tcBorders>
              <w:top w:val="single" w:sz="12" w:space="0" w:color="auto"/>
              <w:left w:val="nil"/>
              <w:bottom w:val="single" w:sz="4" w:space="0" w:color="000000"/>
              <w:right w:val="nil"/>
            </w:tcBorders>
            <w:vAlign w:val="center"/>
            <w:hideMark/>
          </w:tcPr>
          <w:p w:rsidR="00B227BD" w:rsidRPr="00B227BD" w:rsidRDefault="00B227BD" w:rsidP="00B227BD">
            <w:pPr>
              <w:rPr>
                <w:rFonts w:ascii="Verdana" w:hAnsi="Verdana" w:cs="Calibri"/>
                <w:color w:val="000000"/>
                <w:sz w:val="18"/>
                <w:szCs w:val="18"/>
                <w:lang w:eastAsia="en-GB"/>
              </w:rPr>
            </w:pPr>
          </w:p>
        </w:tc>
        <w:tc>
          <w:tcPr>
            <w:tcW w:w="1340" w:type="dxa"/>
            <w:vMerge/>
            <w:tcBorders>
              <w:top w:val="single" w:sz="12" w:space="0" w:color="auto"/>
              <w:left w:val="nil"/>
              <w:bottom w:val="single" w:sz="4" w:space="0" w:color="000000"/>
              <w:right w:val="nil"/>
            </w:tcBorders>
            <w:vAlign w:val="center"/>
            <w:hideMark/>
          </w:tcPr>
          <w:p w:rsidR="00B227BD" w:rsidRPr="00B227BD" w:rsidRDefault="00B227BD" w:rsidP="00B227BD">
            <w:pPr>
              <w:rPr>
                <w:rFonts w:ascii="Verdana" w:hAnsi="Verdana" w:cs="Calibri"/>
                <w:color w:val="000000"/>
                <w:sz w:val="18"/>
                <w:szCs w:val="18"/>
                <w:lang w:eastAsia="en-GB"/>
              </w:rPr>
            </w:pPr>
          </w:p>
        </w:tc>
        <w:tc>
          <w:tcPr>
            <w:tcW w:w="1660" w:type="dxa"/>
            <w:vMerge/>
            <w:tcBorders>
              <w:top w:val="single" w:sz="12" w:space="0" w:color="auto"/>
              <w:left w:val="nil"/>
              <w:bottom w:val="single" w:sz="4" w:space="0" w:color="000000"/>
              <w:right w:val="single" w:sz="12" w:space="0" w:color="auto"/>
            </w:tcBorders>
            <w:vAlign w:val="center"/>
            <w:hideMark/>
          </w:tcPr>
          <w:p w:rsidR="00B227BD" w:rsidRPr="00B227BD" w:rsidRDefault="00B227BD" w:rsidP="00B227BD">
            <w:pPr>
              <w:rPr>
                <w:rFonts w:ascii="Verdana" w:hAnsi="Verdana" w:cs="Calibri"/>
                <w:color w:val="000000"/>
                <w:sz w:val="18"/>
                <w:szCs w:val="18"/>
                <w:lang w:eastAsia="en-GB"/>
              </w:rPr>
            </w:pPr>
          </w:p>
        </w:tc>
      </w:tr>
      <w:tr w:rsidR="00B227BD" w:rsidRPr="00B227BD" w:rsidTr="00B227BD">
        <w:trPr>
          <w:trHeight w:val="600"/>
        </w:trPr>
        <w:tc>
          <w:tcPr>
            <w:tcW w:w="1660" w:type="dxa"/>
            <w:tcBorders>
              <w:top w:val="nil"/>
              <w:left w:val="single" w:sz="12" w:space="0" w:color="auto"/>
              <w:bottom w:val="nil"/>
              <w:right w:val="single" w:sz="4" w:space="0" w:color="auto"/>
            </w:tcBorders>
            <w:shd w:val="clear" w:color="auto" w:fill="auto"/>
            <w:vAlign w:val="center"/>
            <w:hideMark/>
          </w:tcPr>
          <w:p w:rsidR="00B227BD" w:rsidRPr="00B227BD" w:rsidRDefault="00B227BD" w:rsidP="00B227BD">
            <w:pPr>
              <w:rPr>
                <w:rFonts w:ascii="Verdana" w:hAnsi="Verdana" w:cs="Calibri"/>
                <w:color w:val="000000"/>
                <w:sz w:val="20"/>
                <w:szCs w:val="20"/>
                <w:lang w:eastAsia="en-GB"/>
              </w:rPr>
            </w:pPr>
            <w:r w:rsidRPr="00B227BD">
              <w:rPr>
                <w:rFonts w:ascii="Verdana" w:hAnsi="Verdana" w:cs="Calibri"/>
                <w:color w:val="000000"/>
                <w:sz w:val="20"/>
                <w:szCs w:val="20"/>
                <w:lang w:eastAsia="en-GB"/>
              </w:rPr>
              <w:t>Almost</w:t>
            </w:r>
            <w:r w:rsidRPr="00B227BD">
              <w:rPr>
                <w:rFonts w:ascii="Verdana" w:hAnsi="Verdana" w:cs="Calibri"/>
                <w:color w:val="000000"/>
                <w:sz w:val="20"/>
                <w:szCs w:val="20"/>
                <w:lang w:eastAsia="en-GB"/>
              </w:rPr>
              <w:br/>
              <w:t>Certain (5)</w:t>
            </w:r>
          </w:p>
        </w:tc>
        <w:tc>
          <w:tcPr>
            <w:tcW w:w="1600" w:type="dxa"/>
            <w:tcBorders>
              <w:top w:val="nil"/>
              <w:left w:val="nil"/>
              <w:bottom w:val="nil"/>
              <w:right w:val="single" w:sz="4" w:space="0" w:color="auto"/>
            </w:tcBorders>
            <w:shd w:val="thinHorzStripe" w:color="000000" w:fill="00B050"/>
            <w:noWrap/>
            <w:vAlign w:val="center"/>
            <w:hideMark/>
          </w:tcPr>
          <w:p w:rsidR="00B227BD" w:rsidRPr="00B227BD" w:rsidRDefault="00B227BD" w:rsidP="00B227BD">
            <w:pPr>
              <w:jc w:val="center"/>
              <w:rPr>
                <w:rFonts w:ascii="Verdana" w:hAnsi="Verdana" w:cs="Calibri"/>
                <w:b/>
                <w:bCs/>
                <w:color w:val="000000"/>
                <w:lang w:eastAsia="en-GB"/>
              </w:rPr>
            </w:pPr>
            <w:r w:rsidRPr="00B227BD">
              <w:rPr>
                <w:rFonts w:ascii="Verdana" w:hAnsi="Verdana" w:cs="Calibri"/>
                <w:b/>
                <w:bCs/>
                <w:color w:val="000000"/>
                <w:lang w:eastAsia="en-GB"/>
              </w:rPr>
              <w:t> </w:t>
            </w:r>
          </w:p>
        </w:tc>
        <w:tc>
          <w:tcPr>
            <w:tcW w:w="1340" w:type="dxa"/>
            <w:tcBorders>
              <w:top w:val="nil"/>
              <w:left w:val="nil"/>
              <w:bottom w:val="nil"/>
              <w:right w:val="nil"/>
            </w:tcBorders>
            <w:shd w:val="thinVertStripe" w:color="000000" w:fill="FFC000"/>
            <w:noWrap/>
            <w:vAlign w:val="center"/>
            <w:hideMark/>
          </w:tcPr>
          <w:p w:rsidR="00B227BD" w:rsidRPr="00B227BD" w:rsidRDefault="00B227BD" w:rsidP="00B227BD">
            <w:pPr>
              <w:jc w:val="center"/>
              <w:rPr>
                <w:rFonts w:ascii="Verdana" w:hAnsi="Verdana" w:cs="Calibri"/>
                <w:b/>
                <w:bCs/>
                <w:color w:val="000000"/>
                <w:lang w:eastAsia="en-GB"/>
              </w:rPr>
            </w:pPr>
            <w:r w:rsidRPr="00B227BD">
              <w:rPr>
                <w:rFonts w:ascii="Verdana" w:hAnsi="Verdana" w:cs="Calibri"/>
                <w:b/>
                <w:bCs/>
                <w:color w:val="000000"/>
                <w:lang w:eastAsia="en-GB"/>
              </w:rPr>
              <w:t> </w:t>
            </w:r>
          </w:p>
        </w:tc>
        <w:tc>
          <w:tcPr>
            <w:tcW w:w="1340" w:type="dxa"/>
            <w:tcBorders>
              <w:top w:val="nil"/>
              <w:left w:val="nil"/>
              <w:bottom w:val="nil"/>
              <w:right w:val="nil"/>
            </w:tcBorders>
            <w:shd w:val="thinVertStripe" w:color="000000" w:fill="FFC000"/>
            <w:noWrap/>
            <w:vAlign w:val="center"/>
            <w:hideMark/>
          </w:tcPr>
          <w:p w:rsidR="00B227BD" w:rsidRPr="00B227BD" w:rsidRDefault="00B227BD" w:rsidP="00B227BD">
            <w:pPr>
              <w:jc w:val="center"/>
              <w:rPr>
                <w:rFonts w:ascii="Verdana" w:hAnsi="Verdana" w:cs="Calibri"/>
                <w:b/>
                <w:bCs/>
                <w:color w:val="000000"/>
                <w:lang w:eastAsia="en-GB"/>
              </w:rPr>
            </w:pPr>
            <w:r w:rsidRPr="00B227BD">
              <w:rPr>
                <w:rFonts w:ascii="Verdana" w:hAnsi="Verdana" w:cs="Calibri"/>
                <w:b/>
                <w:bCs/>
                <w:color w:val="000000"/>
                <w:lang w:eastAsia="en-GB"/>
              </w:rPr>
              <w:t> </w:t>
            </w:r>
          </w:p>
        </w:tc>
        <w:tc>
          <w:tcPr>
            <w:tcW w:w="1340" w:type="dxa"/>
            <w:tcBorders>
              <w:top w:val="nil"/>
              <w:left w:val="single" w:sz="4" w:space="0" w:color="auto"/>
              <w:bottom w:val="nil"/>
              <w:right w:val="nil"/>
            </w:tcBorders>
            <w:shd w:val="thinDiagCross" w:color="000000" w:fill="FF0000"/>
            <w:noWrap/>
            <w:vAlign w:val="center"/>
            <w:hideMark/>
          </w:tcPr>
          <w:p w:rsidR="00B227BD" w:rsidRPr="00B227BD" w:rsidRDefault="00B227BD" w:rsidP="00B227BD">
            <w:pPr>
              <w:jc w:val="center"/>
              <w:rPr>
                <w:rFonts w:ascii="Verdana" w:hAnsi="Verdana" w:cs="Calibri"/>
                <w:b/>
                <w:bCs/>
                <w:color w:val="000000"/>
                <w:lang w:eastAsia="en-GB"/>
              </w:rPr>
            </w:pPr>
            <w:r w:rsidRPr="00B227BD">
              <w:rPr>
                <w:rFonts w:ascii="Verdana" w:hAnsi="Verdana" w:cs="Calibri"/>
                <w:b/>
                <w:bCs/>
                <w:color w:val="000000"/>
                <w:lang w:eastAsia="en-GB"/>
              </w:rPr>
              <w:t>1</w:t>
            </w:r>
          </w:p>
        </w:tc>
        <w:tc>
          <w:tcPr>
            <w:tcW w:w="1660" w:type="dxa"/>
            <w:tcBorders>
              <w:top w:val="nil"/>
              <w:left w:val="nil"/>
              <w:bottom w:val="nil"/>
              <w:right w:val="single" w:sz="12" w:space="0" w:color="auto"/>
            </w:tcBorders>
            <w:shd w:val="thinDiagCross" w:color="000000" w:fill="FF0000"/>
            <w:noWrap/>
            <w:vAlign w:val="center"/>
            <w:hideMark/>
          </w:tcPr>
          <w:p w:rsidR="00B227BD" w:rsidRPr="00B227BD" w:rsidRDefault="00B227BD" w:rsidP="00B227BD">
            <w:pPr>
              <w:jc w:val="center"/>
              <w:rPr>
                <w:rFonts w:ascii="Verdana" w:hAnsi="Verdana" w:cs="Calibri"/>
                <w:b/>
                <w:bCs/>
                <w:color w:val="000000"/>
                <w:lang w:eastAsia="en-GB"/>
              </w:rPr>
            </w:pPr>
            <w:r w:rsidRPr="00B227BD">
              <w:rPr>
                <w:rFonts w:ascii="Verdana" w:hAnsi="Verdana" w:cs="Calibri"/>
                <w:b/>
                <w:bCs/>
                <w:color w:val="000000"/>
                <w:lang w:eastAsia="en-GB"/>
              </w:rPr>
              <w:t> </w:t>
            </w:r>
          </w:p>
        </w:tc>
      </w:tr>
      <w:tr w:rsidR="00B227BD" w:rsidRPr="00B227BD" w:rsidTr="00B227BD">
        <w:trPr>
          <w:trHeight w:val="600"/>
        </w:trPr>
        <w:tc>
          <w:tcPr>
            <w:tcW w:w="1660" w:type="dxa"/>
            <w:tcBorders>
              <w:top w:val="nil"/>
              <w:left w:val="single" w:sz="12" w:space="0" w:color="auto"/>
              <w:bottom w:val="nil"/>
              <w:right w:val="single" w:sz="4" w:space="0" w:color="auto"/>
            </w:tcBorders>
            <w:shd w:val="clear" w:color="auto" w:fill="auto"/>
            <w:noWrap/>
            <w:vAlign w:val="center"/>
            <w:hideMark/>
          </w:tcPr>
          <w:p w:rsidR="00B227BD" w:rsidRPr="00B227BD" w:rsidRDefault="00B227BD" w:rsidP="00B227BD">
            <w:pPr>
              <w:rPr>
                <w:rFonts w:ascii="Verdana" w:hAnsi="Verdana" w:cs="Calibri"/>
                <w:color w:val="000000"/>
                <w:sz w:val="20"/>
                <w:szCs w:val="20"/>
                <w:lang w:eastAsia="en-GB"/>
              </w:rPr>
            </w:pPr>
            <w:r w:rsidRPr="00B227BD">
              <w:rPr>
                <w:rFonts w:ascii="Verdana" w:hAnsi="Verdana" w:cs="Calibri"/>
                <w:color w:val="000000"/>
                <w:sz w:val="20"/>
                <w:szCs w:val="20"/>
                <w:lang w:eastAsia="en-GB"/>
              </w:rPr>
              <w:t>Likely (4)</w:t>
            </w:r>
          </w:p>
        </w:tc>
        <w:tc>
          <w:tcPr>
            <w:tcW w:w="1600" w:type="dxa"/>
            <w:tcBorders>
              <w:top w:val="nil"/>
              <w:left w:val="nil"/>
              <w:bottom w:val="nil"/>
              <w:right w:val="single" w:sz="4" w:space="0" w:color="auto"/>
            </w:tcBorders>
            <w:shd w:val="thinHorzStripe" w:color="000000" w:fill="00B050"/>
            <w:noWrap/>
            <w:vAlign w:val="center"/>
            <w:hideMark/>
          </w:tcPr>
          <w:p w:rsidR="00B227BD" w:rsidRPr="00B227BD" w:rsidRDefault="00B227BD" w:rsidP="00B227BD">
            <w:pPr>
              <w:jc w:val="center"/>
              <w:rPr>
                <w:rFonts w:ascii="Verdana" w:hAnsi="Verdana" w:cs="Calibri"/>
                <w:b/>
                <w:bCs/>
                <w:color w:val="000000"/>
                <w:lang w:eastAsia="en-GB"/>
              </w:rPr>
            </w:pPr>
            <w:r w:rsidRPr="00B227BD">
              <w:rPr>
                <w:rFonts w:ascii="Verdana" w:hAnsi="Verdana" w:cs="Calibri"/>
                <w:b/>
                <w:bCs/>
                <w:color w:val="000000"/>
                <w:lang w:eastAsia="en-GB"/>
              </w:rPr>
              <w:t> </w:t>
            </w:r>
          </w:p>
        </w:tc>
        <w:tc>
          <w:tcPr>
            <w:tcW w:w="1340" w:type="dxa"/>
            <w:tcBorders>
              <w:top w:val="nil"/>
              <w:left w:val="nil"/>
              <w:bottom w:val="nil"/>
              <w:right w:val="nil"/>
            </w:tcBorders>
            <w:shd w:val="thinVertStripe" w:color="000000" w:fill="FFC000"/>
            <w:noWrap/>
            <w:vAlign w:val="center"/>
            <w:hideMark/>
          </w:tcPr>
          <w:p w:rsidR="00B227BD" w:rsidRPr="00B227BD" w:rsidRDefault="00B227BD" w:rsidP="00B227BD">
            <w:pPr>
              <w:jc w:val="center"/>
              <w:rPr>
                <w:rFonts w:ascii="Verdana" w:hAnsi="Verdana" w:cs="Calibri"/>
                <w:b/>
                <w:bCs/>
                <w:color w:val="000000"/>
                <w:lang w:eastAsia="en-GB"/>
              </w:rPr>
            </w:pPr>
            <w:r w:rsidRPr="00B227BD">
              <w:rPr>
                <w:rFonts w:ascii="Verdana" w:hAnsi="Verdana" w:cs="Calibri"/>
                <w:b/>
                <w:bCs/>
                <w:color w:val="000000"/>
                <w:lang w:eastAsia="en-GB"/>
              </w:rPr>
              <w:t>6</w:t>
            </w:r>
          </w:p>
        </w:tc>
        <w:tc>
          <w:tcPr>
            <w:tcW w:w="1340" w:type="dxa"/>
            <w:tcBorders>
              <w:top w:val="nil"/>
              <w:left w:val="nil"/>
              <w:bottom w:val="nil"/>
              <w:right w:val="nil"/>
            </w:tcBorders>
            <w:shd w:val="thinVertStripe" w:color="000000" w:fill="FFC000"/>
            <w:noWrap/>
            <w:vAlign w:val="center"/>
            <w:hideMark/>
          </w:tcPr>
          <w:p w:rsidR="00B227BD" w:rsidRPr="00B227BD" w:rsidRDefault="00B227BD" w:rsidP="00B227BD">
            <w:pPr>
              <w:jc w:val="center"/>
              <w:rPr>
                <w:rFonts w:ascii="Verdana" w:hAnsi="Verdana" w:cs="Calibri"/>
                <w:b/>
                <w:bCs/>
                <w:color w:val="000000"/>
                <w:lang w:eastAsia="en-GB"/>
              </w:rPr>
            </w:pPr>
            <w:r w:rsidRPr="00B227BD">
              <w:rPr>
                <w:rFonts w:ascii="Verdana" w:hAnsi="Verdana" w:cs="Calibri"/>
                <w:b/>
                <w:bCs/>
                <w:color w:val="000000"/>
                <w:lang w:eastAsia="en-GB"/>
              </w:rPr>
              <w:t>2</w:t>
            </w:r>
          </w:p>
        </w:tc>
        <w:tc>
          <w:tcPr>
            <w:tcW w:w="1340" w:type="dxa"/>
            <w:tcBorders>
              <w:top w:val="nil"/>
              <w:left w:val="single" w:sz="4" w:space="0" w:color="auto"/>
              <w:bottom w:val="nil"/>
              <w:right w:val="nil"/>
            </w:tcBorders>
            <w:shd w:val="thinDiagCross" w:color="000000" w:fill="FF0000"/>
            <w:noWrap/>
            <w:vAlign w:val="center"/>
            <w:hideMark/>
          </w:tcPr>
          <w:p w:rsidR="00B227BD" w:rsidRPr="00B227BD" w:rsidRDefault="00B227BD" w:rsidP="00B227BD">
            <w:pPr>
              <w:jc w:val="center"/>
              <w:rPr>
                <w:rFonts w:ascii="Verdana" w:hAnsi="Verdana" w:cs="Calibri"/>
                <w:b/>
                <w:bCs/>
                <w:color w:val="000000"/>
                <w:lang w:eastAsia="en-GB"/>
              </w:rPr>
            </w:pPr>
            <w:r w:rsidRPr="00B227BD">
              <w:rPr>
                <w:rFonts w:ascii="Verdana" w:hAnsi="Verdana" w:cs="Calibri"/>
                <w:b/>
                <w:bCs/>
                <w:color w:val="000000"/>
                <w:lang w:eastAsia="en-GB"/>
              </w:rPr>
              <w:t> </w:t>
            </w:r>
          </w:p>
        </w:tc>
        <w:tc>
          <w:tcPr>
            <w:tcW w:w="1660" w:type="dxa"/>
            <w:tcBorders>
              <w:top w:val="nil"/>
              <w:left w:val="nil"/>
              <w:bottom w:val="nil"/>
              <w:right w:val="single" w:sz="12" w:space="0" w:color="auto"/>
            </w:tcBorders>
            <w:shd w:val="thinDiagCross" w:color="000000" w:fill="FF0000"/>
            <w:noWrap/>
            <w:vAlign w:val="center"/>
            <w:hideMark/>
          </w:tcPr>
          <w:p w:rsidR="00B227BD" w:rsidRPr="00B227BD" w:rsidRDefault="00B227BD" w:rsidP="00B227BD">
            <w:pPr>
              <w:jc w:val="center"/>
              <w:rPr>
                <w:rFonts w:ascii="Verdana" w:hAnsi="Verdana" w:cs="Calibri"/>
                <w:b/>
                <w:bCs/>
                <w:color w:val="000000"/>
                <w:lang w:eastAsia="en-GB"/>
              </w:rPr>
            </w:pPr>
            <w:r w:rsidRPr="00B227BD">
              <w:rPr>
                <w:rFonts w:ascii="Verdana" w:hAnsi="Verdana" w:cs="Calibri"/>
                <w:b/>
                <w:bCs/>
                <w:color w:val="000000"/>
                <w:lang w:eastAsia="en-GB"/>
              </w:rPr>
              <w:t> </w:t>
            </w:r>
          </w:p>
        </w:tc>
      </w:tr>
      <w:tr w:rsidR="00B227BD" w:rsidRPr="00B227BD" w:rsidTr="00B227BD">
        <w:trPr>
          <w:trHeight w:val="600"/>
        </w:trPr>
        <w:tc>
          <w:tcPr>
            <w:tcW w:w="1660" w:type="dxa"/>
            <w:tcBorders>
              <w:top w:val="nil"/>
              <w:left w:val="single" w:sz="12" w:space="0" w:color="auto"/>
              <w:bottom w:val="nil"/>
              <w:right w:val="single" w:sz="4" w:space="0" w:color="auto"/>
            </w:tcBorders>
            <w:shd w:val="clear" w:color="auto" w:fill="auto"/>
            <w:noWrap/>
            <w:vAlign w:val="center"/>
            <w:hideMark/>
          </w:tcPr>
          <w:p w:rsidR="00B227BD" w:rsidRPr="00B227BD" w:rsidRDefault="00B227BD" w:rsidP="00B227BD">
            <w:pPr>
              <w:rPr>
                <w:rFonts w:ascii="Verdana" w:hAnsi="Verdana" w:cs="Calibri"/>
                <w:color w:val="000000"/>
                <w:sz w:val="20"/>
                <w:szCs w:val="20"/>
                <w:lang w:eastAsia="en-GB"/>
              </w:rPr>
            </w:pPr>
            <w:r w:rsidRPr="00B227BD">
              <w:rPr>
                <w:rFonts w:ascii="Verdana" w:hAnsi="Verdana" w:cs="Calibri"/>
                <w:color w:val="000000"/>
                <w:sz w:val="20"/>
                <w:szCs w:val="20"/>
                <w:lang w:eastAsia="en-GB"/>
              </w:rPr>
              <w:t>Possible (3)</w:t>
            </w:r>
          </w:p>
        </w:tc>
        <w:tc>
          <w:tcPr>
            <w:tcW w:w="1600" w:type="dxa"/>
            <w:tcBorders>
              <w:top w:val="nil"/>
              <w:left w:val="nil"/>
              <w:bottom w:val="nil"/>
              <w:right w:val="nil"/>
            </w:tcBorders>
            <w:shd w:val="thinHorzStripe" w:color="000000" w:fill="00B050"/>
            <w:noWrap/>
            <w:vAlign w:val="center"/>
            <w:hideMark/>
          </w:tcPr>
          <w:p w:rsidR="00B227BD" w:rsidRPr="00B227BD" w:rsidRDefault="00B227BD" w:rsidP="00B227BD">
            <w:pPr>
              <w:jc w:val="center"/>
              <w:rPr>
                <w:rFonts w:ascii="Verdana" w:hAnsi="Verdana" w:cs="Calibri"/>
                <w:b/>
                <w:bCs/>
                <w:color w:val="000000"/>
                <w:lang w:eastAsia="en-GB"/>
              </w:rPr>
            </w:pPr>
            <w:r w:rsidRPr="00B227BD">
              <w:rPr>
                <w:rFonts w:ascii="Verdana" w:hAnsi="Verdana" w:cs="Calibri"/>
                <w:b/>
                <w:bCs/>
                <w:color w:val="000000"/>
                <w:lang w:eastAsia="en-GB"/>
              </w:rPr>
              <w:t> </w:t>
            </w:r>
          </w:p>
        </w:tc>
        <w:tc>
          <w:tcPr>
            <w:tcW w:w="1340" w:type="dxa"/>
            <w:tcBorders>
              <w:top w:val="single" w:sz="4" w:space="0" w:color="auto"/>
              <w:left w:val="nil"/>
              <w:bottom w:val="nil"/>
              <w:right w:val="single" w:sz="4" w:space="0" w:color="auto"/>
            </w:tcBorders>
            <w:shd w:val="thinHorzStripe" w:color="000000" w:fill="00B050"/>
            <w:noWrap/>
            <w:vAlign w:val="center"/>
            <w:hideMark/>
          </w:tcPr>
          <w:p w:rsidR="00B227BD" w:rsidRPr="00B227BD" w:rsidRDefault="00B227BD" w:rsidP="00B227BD">
            <w:pPr>
              <w:jc w:val="center"/>
              <w:rPr>
                <w:rFonts w:ascii="Verdana" w:hAnsi="Verdana" w:cs="Calibri"/>
                <w:b/>
                <w:bCs/>
                <w:color w:val="000000"/>
                <w:lang w:eastAsia="en-GB"/>
              </w:rPr>
            </w:pPr>
            <w:r w:rsidRPr="00B227BD">
              <w:rPr>
                <w:rFonts w:ascii="Verdana" w:hAnsi="Verdana" w:cs="Calibri"/>
                <w:b/>
                <w:bCs/>
                <w:color w:val="000000"/>
                <w:lang w:eastAsia="en-GB"/>
              </w:rPr>
              <w:t>6</w:t>
            </w:r>
          </w:p>
        </w:tc>
        <w:tc>
          <w:tcPr>
            <w:tcW w:w="1340" w:type="dxa"/>
            <w:tcBorders>
              <w:top w:val="nil"/>
              <w:left w:val="nil"/>
              <w:bottom w:val="nil"/>
              <w:right w:val="nil"/>
            </w:tcBorders>
            <w:shd w:val="thinVertStripe" w:color="000000" w:fill="FFC000"/>
            <w:noWrap/>
            <w:vAlign w:val="center"/>
            <w:hideMark/>
          </w:tcPr>
          <w:p w:rsidR="00B227BD" w:rsidRPr="00B227BD" w:rsidRDefault="00B227BD" w:rsidP="00B227BD">
            <w:pPr>
              <w:jc w:val="center"/>
              <w:rPr>
                <w:rFonts w:ascii="Verdana" w:hAnsi="Verdana" w:cs="Calibri"/>
                <w:b/>
                <w:bCs/>
                <w:color w:val="000000"/>
                <w:lang w:eastAsia="en-GB"/>
              </w:rPr>
            </w:pPr>
            <w:r w:rsidRPr="00B227BD">
              <w:rPr>
                <w:rFonts w:ascii="Verdana" w:hAnsi="Verdana" w:cs="Calibri"/>
                <w:b/>
                <w:bCs/>
                <w:color w:val="000000"/>
                <w:lang w:eastAsia="en-GB"/>
              </w:rPr>
              <w:t>19</w:t>
            </w:r>
          </w:p>
        </w:tc>
        <w:tc>
          <w:tcPr>
            <w:tcW w:w="1340" w:type="dxa"/>
            <w:tcBorders>
              <w:top w:val="nil"/>
              <w:left w:val="single" w:sz="4" w:space="0" w:color="auto"/>
              <w:bottom w:val="single" w:sz="4" w:space="0" w:color="auto"/>
              <w:right w:val="nil"/>
            </w:tcBorders>
            <w:shd w:val="thinDiagCross" w:color="000000" w:fill="FF0000"/>
            <w:noWrap/>
            <w:vAlign w:val="center"/>
            <w:hideMark/>
          </w:tcPr>
          <w:p w:rsidR="00B227BD" w:rsidRPr="00B227BD" w:rsidRDefault="00B227BD" w:rsidP="00B227BD">
            <w:pPr>
              <w:jc w:val="center"/>
              <w:rPr>
                <w:rFonts w:ascii="Verdana" w:hAnsi="Verdana" w:cs="Calibri"/>
                <w:b/>
                <w:bCs/>
                <w:color w:val="000000"/>
                <w:lang w:eastAsia="en-GB"/>
              </w:rPr>
            </w:pPr>
            <w:r w:rsidRPr="00B227BD">
              <w:rPr>
                <w:rFonts w:ascii="Verdana" w:hAnsi="Verdana" w:cs="Calibri"/>
                <w:b/>
                <w:bCs/>
                <w:color w:val="000000"/>
                <w:lang w:eastAsia="en-GB"/>
              </w:rPr>
              <w:t>3</w:t>
            </w:r>
          </w:p>
        </w:tc>
        <w:tc>
          <w:tcPr>
            <w:tcW w:w="1660" w:type="dxa"/>
            <w:tcBorders>
              <w:top w:val="nil"/>
              <w:left w:val="nil"/>
              <w:bottom w:val="single" w:sz="4" w:space="0" w:color="auto"/>
              <w:right w:val="single" w:sz="12" w:space="0" w:color="auto"/>
            </w:tcBorders>
            <w:shd w:val="thinDiagCross" w:color="000000" w:fill="FF0000"/>
            <w:noWrap/>
            <w:vAlign w:val="center"/>
            <w:hideMark/>
          </w:tcPr>
          <w:p w:rsidR="00B227BD" w:rsidRPr="00B227BD" w:rsidRDefault="00B227BD" w:rsidP="00B227BD">
            <w:pPr>
              <w:jc w:val="center"/>
              <w:rPr>
                <w:rFonts w:ascii="Verdana" w:hAnsi="Verdana" w:cs="Calibri"/>
                <w:b/>
                <w:bCs/>
                <w:color w:val="000000"/>
                <w:lang w:eastAsia="en-GB"/>
              </w:rPr>
            </w:pPr>
            <w:r w:rsidRPr="00B227BD">
              <w:rPr>
                <w:rFonts w:ascii="Verdana" w:hAnsi="Verdana" w:cs="Calibri"/>
                <w:b/>
                <w:bCs/>
                <w:color w:val="000000"/>
                <w:lang w:eastAsia="en-GB"/>
              </w:rPr>
              <w:t> </w:t>
            </w:r>
          </w:p>
        </w:tc>
      </w:tr>
      <w:tr w:rsidR="00B227BD" w:rsidRPr="00B227BD" w:rsidTr="00B227BD">
        <w:trPr>
          <w:trHeight w:val="600"/>
        </w:trPr>
        <w:tc>
          <w:tcPr>
            <w:tcW w:w="1660" w:type="dxa"/>
            <w:tcBorders>
              <w:top w:val="nil"/>
              <w:left w:val="single" w:sz="12" w:space="0" w:color="auto"/>
              <w:bottom w:val="nil"/>
              <w:right w:val="single" w:sz="4" w:space="0" w:color="auto"/>
            </w:tcBorders>
            <w:shd w:val="clear" w:color="auto" w:fill="auto"/>
            <w:noWrap/>
            <w:vAlign w:val="center"/>
            <w:hideMark/>
          </w:tcPr>
          <w:p w:rsidR="00B227BD" w:rsidRPr="00B227BD" w:rsidRDefault="00B227BD" w:rsidP="00B227BD">
            <w:pPr>
              <w:rPr>
                <w:rFonts w:ascii="Verdana" w:hAnsi="Verdana" w:cs="Calibri"/>
                <w:color w:val="000000"/>
                <w:sz w:val="20"/>
                <w:szCs w:val="20"/>
                <w:lang w:eastAsia="en-GB"/>
              </w:rPr>
            </w:pPr>
            <w:r w:rsidRPr="00B227BD">
              <w:rPr>
                <w:rFonts w:ascii="Verdana" w:hAnsi="Verdana" w:cs="Calibri"/>
                <w:color w:val="000000"/>
                <w:sz w:val="20"/>
                <w:szCs w:val="20"/>
                <w:lang w:eastAsia="en-GB"/>
              </w:rPr>
              <w:t>Unlikely (2)</w:t>
            </w:r>
          </w:p>
        </w:tc>
        <w:tc>
          <w:tcPr>
            <w:tcW w:w="1600" w:type="dxa"/>
            <w:tcBorders>
              <w:top w:val="nil"/>
              <w:left w:val="nil"/>
              <w:bottom w:val="nil"/>
              <w:right w:val="nil"/>
            </w:tcBorders>
            <w:shd w:val="thinHorzStripe" w:color="000000" w:fill="00B050"/>
            <w:noWrap/>
            <w:vAlign w:val="center"/>
            <w:hideMark/>
          </w:tcPr>
          <w:p w:rsidR="00B227BD" w:rsidRPr="00B227BD" w:rsidRDefault="00B227BD" w:rsidP="00B227BD">
            <w:pPr>
              <w:jc w:val="center"/>
              <w:rPr>
                <w:rFonts w:ascii="Verdana" w:hAnsi="Verdana" w:cs="Calibri"/>
                <w:b/>
                <w:bCs/>
                <w:color w:val="000000"/>
                <w:lang w:eastAsia="en-GB"/>
              </w:rPr>
            </w:pPr>
            <w:r w:rsidRPr="00B227BD">
              <w:rPr>
                <w:rFonts w:ascii="Verdana" w:hAnsi="Verdana" w:cs="Calibri"/>
                <w:b/>
                <w:bCs/>
                <w:color w:val="000000"/>
                <w:lang w:eastAsia="en-GB"/>
              </w:rPr>
              <w:t> </w:t>
            </w:r>
          </w:p>
        </w:tc>
        <w:tc>
          <w:tcPr>
            <w:tcW w:w="1340" w:type="dxa"/>
            <w:tcBorders>
              <w:top w:val="nil"/>
              <w:left w:val="nil"/>
              <w:bottom w:val="nil"/>
              <w:right w:val="nil"/>
            </w:tcBorders>
            <w:shd w:val="thinHorzStripe" w:color="000000" w:fill="00B050"/>
            <w:noWrap/>
            <w:vAlign w:val="center"/>
            <w:hideMark/>
          </w:tcPr>
          <w:p w:rsidR="00B227BD" w:rsidRPr="00B227BD" w:rsidRDefault="00B227BD" w:rsidP="00B227BD">
            <w:pPr>
              <w:jc w:val="center"/>
              <w:rPr>
                <w:rFonts w:ascii="Verdana" w:hAnsi="Verdana" w:cs="Calibri"/>
                <w:b/>
                <w:bCs/>
                <w:color w:val="000000"/>
                <w:lang w:eastAsia="en-GB"/>
              </w:rPr>
            </w:pPr>
            <w:r w:rsidRPr="00B227BD">
              <w:rPr>
                <w:rFonts w:ascii="Verdana" w:hAnsi="Verdana" w:cs="Calibri"/>
                <w:b/>
                <w:bCs/>
                <w:color w:val="000000"/>
                <w:lang w:eastAsia="en-GB"/>
              </w:rPr>
              <w:t>10</w:t>
            </w:r>
          </w:p>
        </w:tc>
        <w:tc>
          <w:tcPr>
            <w:tcW w:w="1340" w:type="dxa"/>
            <w:tcBorders>
              <w:top w:val="single" w:sz="4" w:space="0" w:color="auto"/>
              <w:left w:val="nil"/>
              <w:bottom w:val="nil"/>
              <w:right w:val="single" w:sz="4" w:space="0" w:color="auto"/>
            </w:tcBorders>
            <w:shd w:val="thinHorzStripe" w:color="000000" w:fill="00B050"/>
            <w:noWrap/>
            <w:vAlign w:val="center"/>
            <w:hideMark/>
          </w:tcPr>
          <w:p w:rsidR="00B227BD" w:rsidRPr="00B227BD" w:rsidRDefault="00B227BD" w:rsidP="00B227BD">
            <w:pPr>
              <w:jc w:val="center"/>
              <w:rPr>
                <w:rFonts w:ascii="Verdana" w:hAnsi="Verdana" w:cs="Calibri"/>
                <w:b/>
                <w:bCs/>
                <w:color w:val="000000"/>
                <w:lang w:eastAsia="en-GB"/>
              </w:rPr>
            </w:pPr>
            <w:r w:rsidRPr="00B227BD">
              <w:rPr>
                <w:rFonts w:ascii="Verdana" w:hAnsi="Verdana" w:cs="Calibri"/>
                <w:b/>
                <w:bCs/>
                <w:color w:val="000000"/>
                <w:lang w:eastAsia="en-GB"/>
              </w:rPr>
              <w:t>11</w:t>
            </w:r>
          </w:p>
        </w:tc>
        <w:tc>
          <w:tcPr>
            <w:tcW w:w="1340" w:type="dxa"/>
            <w:tcBorders>
              <w:top w:val="nil"/>
              <w:left w:val="nil"/>
              <w:bottom w:val="nil"/>
              <w:right w:val="nil"/>
            </w:tcBorders>
            <w:shd w:val="thinVertStripe" w:color="000000" w:fill="FFC000"/>
            <w:noWrap/>
            <w:vAlign w:val="center"/>
            <w:hideMark/>
          </w:tcPr>
          <w:p w:rsidR="00B227BD" w:rsidRPr="00B227BD" w:rsidRDefault="00B227BD" w:rsidP="00B227BD">
            <w:pPr>
              <w:jc w:val="center"/>
              <w:rPr>
                <w:rFonts w:ascii="Verdana" w:hAnsi="Verdana" w:cs="Calibri"/>
                <w:b/>
                <w:bCs/>
                <w:color w:val="000000"/>
                <w:lang w:eastAsia="en-GB"/>
              </w:rPr>
            </w:pPr>
            <w:r w:rsidRPr="00B227BD">
              <w:rPr>
                <w:rFonts w:ascii="Verdana" w:hAnsi="Verdana" w:cs="Calibri"/>
                <w:b/>
                <w:bCs/>
                <w:color w:val="000000"/>
                <w:lang w:eastAsia="en-GB"/>
              </w:rPr>
              <w:t>3</w:t>
            </w:r>
          </w:p>
        </w:tc>
        <w:tc>
          <w:tcPr>
            <w:tcW w:w="1660" w:type="dxa"/>
            <w:tcBorders>
              <w:top w:val="nil"/>
              <w:left w:val="nil"/>
              <w:bottom w:val="nil"/>
              <w:right w:val="single" w:sz="12" w:space="0" w:color="auto"/>
            </w:tcBorders>
            <w:shd w:val="thinVertStripe" w:color="000000" w:fill="FFC000"/>
            <w:noWrap/>
            <w:vAlign w:val="center"/>
            <w:hideMark/>
          </w:tcPr>
          <w:p w:rsidR="00B227BD" w:rsidRPr="00B227BD" w:rsidRDefault="00B227BD" w:rsidP="00B227BD">
            <w:pPr>
              <w:jc w:val="center"/>
              <w:rPr>
                <w:rFonts w:ascii="Verdana" w:hAnsi="Verdana" w:cs="Calibri"/>
                <w:b/>
                <w:bCs/>
                <w:color w:val="000000"/>
                <w:lang w:eastAsia="en-GB"/>
              </w:rPr>
            </w:pPr>
            <w:r w:rsidRPr="00B227BD">
              <w:rPr>
                <w:rFonts w:ascii="Verdana" w:hAnsi="Verdana" w:cs="Calibri"/>
                <w:b/>
                <w:bCs/>
                <w:color w:val="000000"/>
                <w:lang w:eastAsia="en-GB"/>
              </w:rPr>
              <w:t>1</w:t>
            </w:r>
          </w:p>
        </w:tc>
      </w:tr>
      <w:tr w:rsidR="00B227BD" w:rsidRPr="00B227BD" w:rsidTr="00B227BD">
        <w:trPr>
          <w:trHeight w:val="600"/>
        </w:trPr>
        <w:tc>
          <w:tcPr>
            <w:tcW w:w="1660" w:type="dxa"/>
            <w:tcBorders>
              <w:top w:val="nil"/>
              <w:left w:val="single" w:sz="12" w:space="0" w:color="auto"/>
              <w:bottom w:val="single" w:sz="12" w:space="0" w:color="auto"/>
              <w:right w:val="single" w:sz="4" w:space="0" w:color="auto"/>
            </w:tcBorders>
            <w:shd w:val="clear" w:color="auto" w:fill="auto"/>
            <w:noWrap/>
            <w:vAlign w:val="center"/>
            <w:hideMark/>
          </w:tcPr>
          <w:p w:rsidR="00B227BD" w:rsidRPr="00B227BD" w:rsidRDefault="00B227BD" w:rsidP="00B227BD">
            <w:pPr>
              <w:rPr>
                <w:rFonts w:ascii="Verdana" w:hAnsi="Verdana" w:cs="Calibri"/>
                <w:color w:val="000000"/>
                <w:sz w:val="20"/>
                <w:szCs w:val="20"/>
                <w:lang w:eastAsia="en-GB"/>
              </w:rPr>
            </w:pPr>
            <w:r w:rsidRPr="00B227BD">
              <w:rPr>
                <w:rFonts w:ascii="Verdana" w:hAnsi="Verdana" w:cs="Calibri"/>
                <w:color w:val="000000"/>
                <w:sz w:val="20"/>
                <w:szCs w:val="20"/>
                <w:lang w:eastAsia="en-GB"/>
              </w:rPr>
              <w:t>Rare (1)</w:t>
            </w:r>
          </w:p>
        </w:tc>
        <w:tc>
          <w:tcPr>
            <w:tcW w:w="1600" w:type="dxa"/>
            <w:tcBorders>
              <w:top w:val="nil"/>
              <w:left w:val="nil"/>
              <w:bottom w:val="single" w:sz="12" w:space="0" w:color="auto"/>
              <w:right w:val="nil"/>
            </w:tcBorders>
            <w:shd w:val="thinHorzStripe" w:color="000000" w:fill="00B050"/>
            <w:noWrap/>
            <w:vAlign w:val="center"/>
            <w:hideMark/>
          </w:tcPr>
          <w:p w:rsidR="00B227BD" w:rsidRPr="00B227BD" w:rsidRDefault="00B227BD" w:rsidP="00B227BD">
            <w:pPr>
              <w:jc w:val="center"/>
              <w:rPr>
                <w:rFonts w:ascii="Verdana" w:hAnsi="Verdana" w:cs="Calibri"/>
                <w:b/>
                <w:bCs/>
                <w:color w:val="000000"/>
                <w:lang w:eastAsia="en-GB"/>
              </w:rPr>
            </w:pPr>
            <w:r w:rsidRPr="00B227BD">
              <w:rPr>
                <w:rFonts w:ascii="Verdana" w:hAnsi="Verdana" w:cs="Calibri"/>
                <w:b/>
                <w:bCs/>
                <w:color w:val="000000"/>
                <w:lang w:eastAsia="en-GB"/>
              </w:rPr>
              <w:t>2</w:t>
            </w:r>
          </w:p>
        </w:tc>
        <w:tc>
          <w:tcPr>
            <w:tcW w:w="1340" w:type="dxa"/>
            <w:tcBorders>
              <w:top w:val="nil"/>
              <w:left w:val="nil"/>
              <w:bottom w:val="single" w:sz="12" w:space="0" w:color="auto"/>
              <w:right w:val="nil"/>
            </w:tcBorders>
            <w:shd w:val="thinHorzStripe" w:color="000000" w:fill="00B050"/>
            <w:noWrap/>
            <w:vAlign w:val="center"/>
            <w:hideMark/>
          </w:tcPr>
          <w:p w:rsidR="00B227BD" w:rsidRPr="00B227BD" w:rsidRDefault="00B227BD" w:rsidP="00B227BD">
            <w:pPr>
              <w:jc w:val="center"/>
              <w:rPr>
                <w:rFonts w:ascii="Verdana" w:hAnsi="Verdana" w:cs="Calibri"/>
                <w:b/>
                <w:bCs/>
                <w:color w:val="000000"/>
                <w:lang w:eastAsia="en-GB"/>
              </w:rPr>
            </w:pPr>
            <w:r w:rsidRPr="00B227BD">
              <w:rPr>
                <w:rFonts w:ascii="Verdana" w:hAnsi="Verdana" w:cs="Calibri"/>
                <w:b/>
                <w:bCs/>
                <w:color w:val="000000"/>
                <w:lang w:eastAsia="en-GB"/>
              </w:rPr>
              <w:t> </w:t>
            </w:r>
          </w:p>
        </w:tc>
        <w:tc>
          <w:tcPr>
            <w:tcW w:w="1340" w:type="dxa"/>
            <w:tcBorders>
              <w:top w:val="nil"/>
              <w:left w:val="nil"/>
              <w:bottom w:val="single" w:sz="12" w:space="0" w:color="auto"/>
              <w:right w:val="nil"/>
            </w:tcBorders>
            <w:shd w:val="thinHorzStripe" w:color="000000" w:fill="00B050"/>
            <w:noWrap/>
            <w:vAlign w:val="center"/>
            <w:hideMark/>
          </w:tcPr>
          <w:p w:rsidR="00B227BD" w:rsidRPr="00B227BD" w:rsidRDefault="00B227BD" w:rsidP="00B227BD">
            <w:pPr>
              <w:jc w:val="center"/>
              <w:rPr>
                <w:rFonts w:ascii="Verdana" w:hAnsi="Verdana" w:cs="Calibri"/>
                <w:b/>
                <w:bCs/>
                <w:color w:val="000000"/>
                <w:lang w:eastAsia="en-GB"/>
              </w:rPr>
            </w:pPr>
            <w:r w:rsidRPr="00B227BD">
              <w:rPr>
                <w:rFonts w:ascii="Verdana" w:hAnsi="Verdana" w:cs="Calibri"/>
                <w:b/>
                <w:bCs/>
                <w:color w:val="000000"/>
                <w:lang w:eastAsia="en-GB"/>
              </w:rPr>
              <w:t> </w:t>
            </w:r>
          </w:p>
        </w:tc>
        <w:tc>
          <w:tcPr>
            <w:tcW w:w="1340" w:type="dxa"/>
            <w:tcBorders>
              <w:top w:val="single" w:sz="4" w:space="0" w:color="auto"/>
              <w:left w:val="nil"/>
              <w:bottom w:val="single" w:sz="12" w:space="0" w:color="auto"/>
              <w:right w:val="single" w:sz="4" w:space="0" w:color="auto"/>
            </w:tcBorders>
            <w:shd w:val="thinHorzStripe" w:color="000000" w:fill="00B050"/>
            <w:noWrap/>
            <w:vAlign w:val="center"/>
            <w:hideMark/>
          </w:tcPr>
          <w:p w:rsidR="00B227BD" w:rsidRPr="00B227BD" w:rsidRDefault="00B227BD" w:rsidP="00B227BD">
            <w:pPr>
              <w:jc w:val="center"/>
              <w:rPr>
                <w:rFonts w:ascii="Verdana" w:hAnsi="Verdana" w:cs="Calibri"/>
                <w:b/>
                <w:bCs/>
                <w:color w:val="000000"/>
                <w:lang w:eastAsia="en-GB"/>
              </w:rPr>
            </w:pPr>
            <w:r w:rsidRPr="00B227BD">
              <w:rPr>
                <w:rFonts w:ascii="Verdana" w:hAnsi="Verdana" w:cs="Calibri"/>
                <w:b/>
                <w:bCs/>
                <w:color w:val="000000"/>
                <w:lang w:eastAsia="en-GB"/>
              </w:rPr>
              <w:t> </w:t>
            </w:r>
          </w:p>
        </w:tc>
        <w:tc>
          <w:tcPr>
            <w:tcW w:w="1660" w:type="dxa"/>
            <w:tcBorders>
              <w:top w:val="nil"/>
              <w:left w:val="nil"/>
              <w:bottom w:val="single" w:sz="12" w:space="0" w:color="auto"/>
              <w:right w:val="single" w:sz="12" w:space="0" w:color="auto"/>
            </w:tcBorders>
            <w:shd w:val="thinVertStripe" w:color="000000" w:fill="FFC000"/>
            <w:noWrap/>
            <w:vAlign w:val="center"/>
            <w:hideMark/>
          </w:tcPr>
          <w:p w:rsidR="00B227BD" w:rsidRPr="00B227BD" w:rsidRDefault="00B227BD" w:rsidP="00B227BD">
            <w:pPr>
              <w:jc w:val="center"/>
              <w:rPr>
                <w:rFonts w:ascii="Verdana" w:hAnsi="Verdana" w:cs="Calibri"/>
                <w:b/>
                <w:bCs/>
                <w:color w:val="000000"/>
                <w:lang w:eastAsia="en-GB"/>
              </w:rPr>
            </w:pPr>
            <w:r w:rsidRPr="00B227BD">
              <w:rPr>
                <w:rFonts w:ascii="Verdana" w:hAnsi="Verdana" w:cs="Calibri"/>
                <w:b/>
                <w:bCs/>
                <w:color w:val="000000"/>
                <w:lang w:eastAsia="en-GB"/>
              </w:rPr>
              <w:t> </w:t>
            </w:r>
          </w:p>
        </w:tc>
      </w:tr>
    </w:tbl>
    <w:p w:rsidR="00B227BD" w:rsidRDefault="00B227BD" w:rsidP="008919F7">
      <w:pPr>
        <w:pStyle w:val="ListParagraph"/>
        <w:ind w:left="426"/>
        <w:rPr>
          <w:rFonts w:cs="Arial"/>
        </w:rPr>
      </w:pPr>
    </w:p>
    <w:p w:rsidR="00B227BD" w:rsidRDefault="00B227BD" w:rsidP="008919F7">
      <w:pPr>
        <w:pStyle w:val="ListParagraph"/>
        <w:ind w:left="426"/>
        <w:rPr>
          <w:rFonts w:cs="Arial"/>
        </w:rPr>
      </w:pPr>
    </w:p>
    <w:p w:rsidR="00B647CA" w:rsidRDefault="00B647CA" w:rsidP="000F409C">
      <w:pPr>
        <w:rPr>
          <w:rFonts w:cs="Arial"/>
          <w:b/>
        </w:rPr>
      </w:pPr>
      <w:r>
        <w:rPr>
          <w:rFonts w:cs="Arial"/>
          <w:b/>
        </w:rPr>
        <w:t>Climate Change / Environmental Impact</w:t>
      </w:r>
    </w:p>
    <w:p w:rsidR="00B647CA" w:rsidRPr="006F4BA2" w:rsidRDefault="00B647CA" w:rsidP="00BD4A81">
      <w:pPr>
        <w:numPr>
          <w:ilvl w:val="0"/>
          <w:numId w:val="1"/>
        </w:numPr>
        <w:ind w:left="426" w:hanging="426"/>
        <w:rPr>
          <w:rFonts w:cs="Arial"/>
        </w:rPr>
      </w:pPr>
      <w:r w:rsidRPr="006F4BA2">
        <w:rPr>
          <w:rFonts w:cs="Arial"/>
        </w:rPr>
        <w:t>There are no issues arising directly from this report</w:t>
      </w:r>
    </w:p>
    <w:p w:rsidR="00B647CA" w:rsidRPr="006F4BA2" w:rsidRDefault="00B647CA" w:rsidP="006F4BA2">
      <w:pPr>
        <w:ind w:left="426"/>
        <w:rPr>
          <w:rFonts w:cs="Arial"/>
        </w:rPr>
      </w:pPr>
    </w:p>
    <w:p w:rsidR="00B647CA" w:rsidRDefault="00B647CA" w:rsidP="006F4BA2">
      <w:pPr>
        <w:rPr>
          <w:rFonts w:cs="Arial"/>
          <w:b/>
        </w:rPr>
      </w:pPr>
      <w:r w:rsidRPr="00B647CA">
        <w:rPr>
          <w:rFonts w:cs="Arial"/>
          <w:b/>
        </w:rPr>
        <w:t>Equalities impact</w:t>
      </w:r>
    </w:p>
    <w:p w:rsidR="00B647CA" w:rsidRPr="006F4BA2" w:rsidRDefault="00B647CA" w:rsidP="00BD4A81">
      <w:pPr>
        <w:numPr>
          <w:ilvl w:val="0"/>
          <w:numId w:val="1"/>
        </w:numPr>
        <w:ind w:left="426" w:hanging="426"/>
        <w:rPr>
          <w:rFonts w:cs="Arial"/>
        </w:rPr>
      </w:pPr>
      <w:r w:rsidRPr="006F4BA2">
        <w:rPr>
          <w:rFonts w:cs="Arial"/>
        </w:rPr>
        <w:t>There are no equalities impacts arising directly from this report</w:t>
      </w:r>
    </w:p>
    <w:p w:rsidR="006F4BA2" w:rsidRPr="006F4BA2" w:rsidRDefault="006F4BA2" w:rsidP="006F4BA2">
      <w:pPr>
        <w:rPr>
          <w:rFonts w:cs="Arial"/>
        </w:rPr>
      </w:pPr>
    </w:p>
    <w:p w:rsidR="00B647CA" w:rsidRDefault="00B647CA" w:rsidP="006F4BA2">
      <w:pPr>
        <w:rPr>
          <w:rFonts w:cs="Arial"/>
          <w:b/>
        </w:rPr>
      </w:pPr>
      <w:r w:rsidRPr="00B647CA">
        <w:rPr>
          <w:rFonts w:cs="Arial"/>
          <w:b/>
        </w:rPr>
        <w:t>Financial Implications</w:t>
      </w:r>
    </w:p>
    <w:p w:rsidR="00B647CA" w:rsidRPr="006F4BA2" w:rsidRDefault="006D7D0D" w:rsidP="00BD4A81">
      <w:pPr>
        <w:numPr>
          <w:ilvl w:val="0"/>
          <w:numId w:val="1"/>
        </w:numPr>
        <w:ind w:left="426" w:hanging="426"/>
        <w:rPr>
          <w:rFonts w:cs="Arial"/>
        </w:rPr>
      </w:pPr>
      <w:r w:rsidRPr="006D7D0D">
        <w:rPr>
          <w:rFonts w:cs="Arial"/>
        </w:rPr>
        <w:t>The Robust management of risk should assist in mitigating the financial impact to the</w:t>
      </w:r>
      <w:r>
        <w:rPr>
          <w:rFonts w:cs="Arial"/>
        </w:rPr>
        <w:t xml:space="preserve"> Council should the event occur</w:t>
      </w:r>
      <w:r w:rsidR="00B647CA" w:rsidRPr="006F4BA2">
        <w:rPr>
          <w:rFonts w:cs="Arial"/>
        </w:rPr>
        <w:t>.</w:t>
      </w:r>
    </w:p>
    <w:p w:rsidR="00714894" w:rsidRPr="006F4BA2" w:rsidRDefault="00714894" w:rsidP="00445174">
      <w:pPr>
        <w:rPr>
          <w:rFonts w:cs="Arial"/>
        </w:rPr>
      </w:pPr>
    </w:p>
    <w:p w:rsidR="00445174" w:rsidRDefault="005044C6" w:rsidP="00445174">
      <w:pPr>
        <w:rPr>
          <w:rFonts w:cs="Arial"/>
          <w:b/>
        </w:rPr>
      </w:pPr>
      <w:r w:rsidRPr="005044C6">
        <w:rPr>
          <w:rFonts w:cs="Arial"/>
          <w:b/>
        </w:rPr>
        <w:t>Legal Implications</w:t>
      </w:r>
    </w:p>
    <w:p w:rsidR="005044C6" w:rsidRPr="000C7E80" w:rsidRDefault="005044C6" w:rsidP="00BD4A81">
      <w:pPr>
        <w:numPr>
          <w:ilvl w:val="0"/>
          <w:numId w:val="1"/>
        </w:numPr>
        <w:ind w:left="426" w:hanging="426"/>
        <w:rPr>
          <w:rFonts w:cs="Arial"/>
          <w:b/>
        </w:rPr>
      </w:pPr>
      <w:r>
        <w:rPr>
          <w:rFonts w:cs="Arial"/>
        </w:rPr>
        <w:t>There are no legal implications directly relevant to this report</w:t>
      </w:r>
      <w:r w:rsidR="006D7D0D" w:rsidRPr="006D7D0D">
        <w:rPr>
          <w:rFonts w:cs="Arial"/>
        </w:rPr>
        <w:t xml:space="preserve"> but having proper arrangements to manage risk throughout the organisation is an important component of corporate governance</w:t>
      </w:r>
      <w:r>
        <w:rPr>
          <w:rFonts w:cs="Arial"/>
        </w:rPr>
        <w:t>.</w:t>
      </w:r>
    </w:p>
    <w:p w:rsidR="000C7E80" w:rsidRPr="006F4BA2" w:rsidRDefault="000C7E80" w:rsidP="000C7E80">
      <w:pPr>
        <w:ind w:left="426"/>
        <w:rPr>
          <w:rFonts w:cs="Arial"/>
          <w:b/>
        </w:rPr>
      </w:pPr>
    </w:p>
    <w:p w:rsidR="00714894" w:rsidRPr="006E1B35" w:rsidRDefault="00714894" w:rsidP="006F4BA2">
      <w:pPr>
        <w:ind w:left="426"/>
        <w:rPr>
          <w:rFonts w:cs="Arial"/>
          <w:b/>
        </w:rPr>
      </w:pPr>
    </w:p>
    <w:tbl>
      <w:tblPr>
        <w:tblW w:w="9664"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664"/>
      </w:tblGrid>
      <w:tr w:rsidR="005D4C4D">
        <w:trPr>
          <w:trHeight w:val="270"/>
        </w:trPr>
        <w:tc>
          <w:tcPr>
            <w:tcW w:w="9664" w:type="dxa"/>
          </w:tcPr>
          <w:p w:rsidR="005D4C4D" w:rsidRDefault="005D4C4D" w:rsidP="005D4C4D">
            <w:pPr>
              <w:tabs>
                <w:tab w:val="left" w:pos="720"/>
                <w:tab w:val="left" w:pos="1440"/>
                <w:tab w:val="left" w:pos="2160"/>
                <w:tab w:val="left" w:pos="2880"/>
              </w:tabs>
            </w:pPr>
            <w:r>
              <w:rPr>
                <w:b/>
                <w:bCs/>
              </w:rPr>
              <w:t>Name and contact details of author:-</w:t>
            </w:r>
          </w:p>
        </w:tc>
      </w:tr>
      <w:tr w:rsidR="005D4C4D">
        <w:trPr>
          <w:trHeight w:val="285"/>
        </w:trPr>
        <w:tc>
          <w:tcPr>
            <w:tcW w:w="9664" w:type="dxa"/>
          </w:tcPr>
          <w:p w:rsidR="005D4C4D" w:rsidRDefault="005D4C4D" w:rsidP="0098273F">
            <w:pPr>
              <w:tabs>
                <w:tab w:val="left" w:pos="720"/>
                <w:tab w:val="left" w:pos="1440"/>
                <w:tab w:val="left" w:pos="2160"/>
                <w:tab w:val="left" w:pos="2880"/>
              </w:tabs>
            </w:pPr>
            <w:r>
              <w:t xml:space="preserve">Name:  </w:t>
            </w:r>
            <w:r w:rsidR="0098273F">
              <w:t>Bill Lewis</w:t>
            </w:r>
          </w:p>
        </w:tc>
      </w:tr>
      <w:tr w:rsidR="005D4C4D">
        <w:trPr>
          <w:trHeight w:val="270"/>
        </w:trPr>
        <w:tc>
          <w:tcPr>
            <w:tcW w:w="9664" w:type="dxa"/>
          </w:tcPr>
          <w:p w:rsidR="005D4C4D" w:rsidRDefault="005D4C4D" w:rsidP="0098273F">
            <w:pPr>
              <w:tabs>
                <w:tab w:val="left" w:pos="720"/>
                <w:tab w:val="left" w:pos="1440"/>
                <w:tab w:val="left" w:pos="2160"/>
                <w:tab w:val="left" w:pos="2880"/>
              </w:tabs>
            </w:pPr>
            <w:r>
              <w:t xml:space="preserve">Job title:  </w:t>
            </w:r>
            <w:r w:rsidR="006E1B35">
              <w:t>Financ</w:t>
            </w:r>
            <w:r w:rsidR="00B949C8">
              <w:t xml:space="preserve">ial </w:t>
            </w:r>
            <w:r w:rsidR="0098273F">
              <w:t>Accounting Manager</w:t>
            </w:r>
          </w:p>
        </w:tc>
      </w:tr>
      <w:tr w:rsidR="005D4C4D">
        <w:trPr>
          <w:trHeight w:val="270"/>
        </w:trPr>
        <w:tc>
          <w:tcPr>
            <w:tcW w:w="9664" w:type="dxa"/>
          </w:tcPr>
          <w:p w:rsidR="005D4C4D" w:rsidRDefault="005D4C4D" w:rsidP="0098273F">
            <w:pPr>
              <w:tabs>
                <w:tab w:val="left" w:pos="720"/>
                <w:tab w:val="left" w:pos="1440"/>
                <w:tab w:val="left" w:pos="2160"/>
                <w:tab w:val="left" w:pos="2880"/>
              </w:tabs>
            </w:pPr>
            <w:r>
              <w:t>Service Area / Department:  Financ</w:t>
            </w:r>
            <w:r w:rsidR="00B949C8">
              <w:t>ial Services</w:t>
            </w:r>
          </w:p>
        </w:tc>
      </w:tr>
      <w:tr w:rsidR="005D4C4D" w:rsidRPr="00B7705C">
        <w:trPr>
          <w:trHeight w:val="570"/>
        </w:trPr>
        <w:tc>
          <w:tcPr>
            <w:tcW w:w="9664" w:type="dxa"/>
          </w:tcPr>
          <w:p w:rsidR="005D4C4D" w:rsidRPr="0098273F" w:rsidRDefault="005D4C4D" w:rsidP="0098273F">
            <w:pPr>
              <w:tabs>
                <w:tab w:val="left" w:pos="720"/>
                <w:tab w:val="left" w:pos="1440"/>
                <w:tab w:val="left" w:pos="2160"/>
                <w:tab w:val="left" w:pos="2880"/>
              </w:tabs>
              <w:rPr>
                <w:u w:val="single"/>
                <w:lang w:val="de-DE"/>
              </w:rPr>
            </w:pPr>
            <w:r w:rsidRPr="0098273F">
              <w:rPr>
                <w:lang w:val="de-DE"/>
              </w:rPr>
              <w:t>Tel:  01865 252</w:t>
            </w:r>
            <w:r w:rsidR="0098273F" w:rsidRPr="0098273F">
              <w:rPr>
                <w:lang w:val="de-DE"/>
              </w:rPr>
              <w:t>607</w:t>
            </w:r>
            <w:r w:rsidRPr="0098273F">
              <w:rPr>
                <w:lang w:val="de-DE"/>
              </w:rPr>
              <w:t xml:space="preserve">  e-mail:  </w:t>
            </w:r>
            <w:r w:rsidR="0098273F" w:rsidRPr="0098273F">
              <w:rPr>
                <w:lang w:val="de-DE"/>
              </w:rPr>
              <w:t>blewis@oxford.gov.uk</w:t>
            </w:r>
          </w:p>
        </w:tc>
      </w:tr>
    </w:tbl>
    <w:p w:rsidR="005D4C4D" w:rsidRPr="00B7705C" w:rsidRDefault="005D4C4D" w:rsidP="005D4C4D">
      <w:pPr>
        <w:rPr>
          <w:rFonts w:cs="Arial"/>
          <w:b/>
          <w:bCs/>
          <w:sz w:val="20"/>
          <w:lang w:val="de-DE"/>
        </w:rPr>
      </w:pPr>
    </w:p>
    <w:p w:rsidR="005064F0" w:rsidRDefault="005D4C4D">
      <w:pPr>
        <w:rPr>
          <w:rFonts w:cs="Arial"/>
          <w:b/>
          <w:bCs/>
        </w:rPr>
      </w:pPr>
      <w:r>
        <w:rPr>
          <w:rFonts w:cs="Arial"/>
          <w:b/>
          <w:bCs/>
        </w:rPr>
        <w:t xml:space="preserve">List of background papers: </w:t>
      </w:r>
      <w:r w:rsidR="000F72BC">
        <w:rPr>
          <w:rFonts w:cs="Arial"/>
          <w:b/>
          <w:bCs/>
        </w:rPr>
        <w:t>N</w:t>
      </w:r>
      <w:r w:rsidR="00815488">
        <w:rPr>
          <w:rFonts w:cs="Arial"/>
          <w:b/>
          <w:bCs/>
        </w:rPr>
        <w:t>one.</w:t>
      </w:r>
    </w:p>
    <w:p w:rsidR="009B2ED0" w:rsidRDefault="005D4C4D">
      <w:r>
        <w:rPr>
          <w:b/>
          <w:bCs/>
        </w:rPr>
        <w:t>Version number:</w:t>
      </w:r>
      <w:r w:rsidR="00CC2F8A">
        <w:rPr>
          <w:b/>
          <w:bCs/>
        </w:rPr>
        <w:t xml:space="preserve"> </w:t>
      </w:r>
    </w:p>
    <w:sectPr w:rsidR="009B2ED0" w:rsidSect="00A32A7B">
      <w:pgSz w:w="11906" w:h="16838"/>
      <w:pgMar w:top="851" w:right="1797" w:bottom="1440" w:left="1797" w:header="709" w:footer="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7F06" w:rsidRDefault="00DC7F06">
      <w:r>
        <w:separator/>
      </w:r>
    </w:p>
  </w:endnote>
  <w:endnote w:type="continuationSeparator" w:id="0">
    <w:p w:rsidR="00DC7F06" w:rsidRDefault="00DC7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7F06" w:rsidRDefault="00DC7F06">
      <w:r>
        <w:separator/>
      </w:r>
    </w:p>
  </w:footnote>
  <w:footnote w:type="continuationSeparator" w:id="0">
    <w:p w:rsidR="00DC7F06" w:rsidRDefault="00DC7F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80853"/>
    <w:multiLevelType w:val="hybridMultilevel"/>
    <w:tmpl w:val="9DFA0CC4"/>
    <w:lvl w:ilvl="0" w:tplc="46324D9C">
      <w:start w:val="1"/>
      <w:numFmt w:val="decimal"/>
      <w:lvlText w:val="%1."/>
      <w:lvlJc w:val="left"/>
      <w:pPr>
        <w:ind w:left="1495" w:hanging="360"/>
      </w:pPr>
      <w:rPr>
        <w:b w:val="0"/>
      </w:rPr>
    </w:lvl>
    <w:lvl w:ilvl="1" w:tplc="08090019">
      <w:start w:val="1"/>
      <w:numFmt w:val="lowerLetter"/>
      <w:lvlText w:val="%2."/>
      <w:lvlJc w:val="left"/>
      <w:pPr>
        <w:ind w:left="2215" w:hanging="360"/>
      </w:pPr>
    </w:lvl>
    <w:lvl w:ilvl="2" w:tplc="0809001B">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1">
    <w:nsid w:val="04D80FEA"/>
    <w:multiLevelType w:val="hybridMultilevel"/>
    <w:tmpl w:val="625E3F22"/>
    <w:lvl w:ilvl="0" w:tplc="D6CCF95E">
      <w:start w:val="11"/>
      <w:numFmt w:val="decimal"/>
      <w:lvlText w:val="%1"/>
      <w:lvlJc w:val="left"/>
      <w:pPr>
        <w:ind w:left="720" w:hanging="360"/>
      </w:pPr>
      <w:rPr>
        <w:rFonts w:hint="default"/>
        <w:b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9354EF0"/>
    <w:multiLevelType w:val="hybridMultilevel"/>
    <w:tmpl w:val="E81AC80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6A6692E"/>
    <w:multiLevelType w:val="hybridMultilevel"/>
    <w:tmpl w:val="B342681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nsid w:val="275C40CB"/>
    <w:multiLevelType w:val="hybridMultilevel"/>
    <w:tmpl w:val="5A6A14A2"/>
    <w:lvl w:ilvl="0" w:tplc="8140081C">
      <w:start w:val="1"/>
      <w:numFmt w:val="upperRoman"/>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nsid w:val="2C0F032D"/>
    <w:multiLevelType w:val="hybridMultilevel"/>
    <w:tmpl w:val="0BECB426"/>
    <w:lvl w:ilvl="0" w:tplc="08090019">
      <w:start w:val="1"/>
      <w:numFmt w:val="lowerLetter"/>
      <w:lvlText w:val="%1."/>
      <w:lvlJc w:val="left"/>
      <w:pPr>
        <w:ind w:left="1701" w:hanging="360"/>
      </w:pPr>
    </w:lvl>
    <w:lvl w:ilvl="1" w:tplc="08090019" w:tentative="1">
      <w:start w:val="1"/>
      <w:numFmt w:val="lowerLetter"/>
      <w:lvlText w:val="%2."/>
      <w:lvlJc w:val="left"/>
      <w:pPr>
        <w:ind w:left="2421" w:hanging="360"/>
      </w:pPr>
    </w:lvl>
    <w:lvl w:ilvl="2" w:tplc="0809001B" w:tentative="1">
      <w:start w:val="1"/>
      <w:numFmt w:val="lowerRoman"/>
      <w:lvlText w:val="%3."/>
      <w:lvlJc w:val="right"/>
      <w:pPr>
        <w:ind w:left="3141" w:hanging="180"/>
      </w:pPr>
    </w:lvl>
    <w:lvl w:ilvl="3" w:tplc="0809000F" w:tentative="1">
      <w:start w:val="1"/>
      <w:numFmt w:val="decimal"/>
      <w:lvlText w:val="%4."/>
      <w:lvlJc w:val="left"/>
      <w:pPr>
        <w:ind w:left="3861" w:hanging="360"/>
      </w:pPr>
    </w:lvl>
    <w:lvl w:ilvl="4" w:tplc="08090019" w:tentative="1">
      <w:start w:val="1"/>
      <w:numFmt w:val="lowerLetter"/>
      <w:lvlText w:val="%5."/>
      <w:lvlJc w:val="left"/>
      <w:pPr>
        <w:ind w:left="4581" w:hanging="360"/>
      </w:pPr>
    </w:lvl>
    <w:lvl w:ilvl="5" w:tplc="0809001B" w:tentative="1">
      <w:start w:val="1"/>
      <w:numFmt w:val="lowerRoman"/>
      <w:lvlText w:val="%6."/>
      <w:lvlJc w:val="right"/>
      <w:pPr>
        <w:ind w:left="5301" w:hanging="180"/>
      </w:pPr>
    </w:lvl>
    <w:lvl w:ilvl="6" w:tplc="0809000F" w:tentative="1">
      <w:start w:val="1"/>
      <w:numFmt w:val="decimal"/>
      <w:lvlText w:val="%7."/>
      <w:lvlJc w:val="left"/>
      <w:pPr>
        <w:ind w:left="6021" w:hanging="360"/>
      </w:pPr>
    </w:lvl>
    <w:lvl w:ilvl="7" w:tplc="08090019" w:tentative="1">
      <w:start w:val="1"/>
      <w:numFmt w:val="lowerLetter"/>
      <w:lvlText w:val="%8."/>
      <w:lvlJc w:val="left"/>
      <w:pPr>
        <w:ind w:left="6741" w:hanging="360"/>
      </w:pPr>
    </w:lvl>
    <w:lvl w:ilvl="8" w:tplc="0809001B" w:tentative="1">
      <w:start w:val="1"/>
      <w:numFmt w:val="lowerRoman"/>
      <w:lvlText w:val="%9."/>
      <w:lvlJc w:val="right"/>
      <w:pPr>
        <w:ind w:left="7461" w:hanging="180"/>
      </w:pPr>
    </w:lvl>
  </w:abstractNum>
  <w:abstractNum w:abstractNumId="6">
    <w:nsid w:val="2DE5733D"/>
    <w:multiLevelType w:val="hybridMultilevel"/>
    <w:tmpl w:val="72FED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ECB5406"/>
    <w:multiLevelType w:val="hybridMultilevel"/>
    <w:tmpl w:val="4518F4F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nsid w:val="3F432177"/>
    <w:multiLevelType w:val="hybridMultilevel"/>
    <w:tmpl w:val="9746FAA6"/>
    <w:lvl w:ilvl="0" w:tplc="08090001">
      <w:start w:val="1"/>
      <w:numFmt w:val="bullet"/>
      <w:lvlText w:val=""/>
      <w:lvlJc w:val="left"/>
      <w:pPr>
        <w:ind w:left="330" w:hanging="360"/>
      </w:pPr>
      <w:rPr>
        <w:rFonts w:ascii="Symbol" w:hAnsi="Symbol" w:hint="default"/>
      </w:rPr>
    </w:lvl>
    <w:lvl w:ilvl="1" w:tplc="08090001">
      <w:start w:val="1"/>
      <w:numFmt w:val="bullet"/>
      <w:lvlText w:val=""/>
      <w:lvlJc w:val="left"/>
      <w:pPr>
        <w:ind w:left="1050" w:hanging="360"/>
      </w:pPr>
      <w:rPr>
        <w:rFonts w:ascii="Symbol" w:hAnsi="Symbol" w:hint="default"/>
      </w:rPr>
    </w:lvl>
    <w:lvl w:ilvl="2" w:tplc="08090005" w:tentative="1">
      <w:start w:val="1"/>
      <w:numFmt w:val="bullet"/>
      <w:lvlText w:val=""/>
      <w:lvlJc w:val="left"/>
      <w:pPr>
        <w:ind w:left="1770" w:hanging="360"/>
      </w:pPr>
      <w:rPr>
        <w:rFonts w:ascii="Wingdings" w:hAnsi="Wingdings" w:hint="default"/>
      </w:rPr>
    </w:lvl>
    <w:lvl w:ilvl="3" w:tplc="08090001" w:tentative="1">
      <w:start w:val="1"/>
      <w:numFmt w:val="bullet"/>
      <w:lvlText w:val=""/>
      <w:lvlJc w:val="left"/>
      <w:pPr>
        <w:ind w:left="2490" w:hanging="360"/>
      </w:pPr>
      <w:rPr>
        <w:rFonts w:ascii="Symbol" w:hAnsi="Symbol" w:hint="default"/>
      </w:rPr>
    </w:lvl>
    <w:lvl w:ilvl="4" w:tplc="08090003" w:tentative="1">
      <w:start w:val="1"/>
      <w:numFmt w:val="bullet"/>
      <w:lvlText w:val="o"/>
      <w:lvlJc w:val="left"/>
      <w:pPr>
        <w:ind w:left="3210" w:hanging="360"/>
      </w:pPr>
      <w:rPr>
        <w:rFonts w:ascii="Courier New" w:hAnsi="Courier New" w:cs="Courier New" w:hint="default"/>
      </w:rPr>
    </w:lvl>
    <w:lvl w:ilvl="5" w:tplc="08090005" w:tentative="1">
      <w:start w:val="1"/>
      <w:numFmt w:val="bullet"/>
      <w:lvlText w:val=""/>
      <w:lvlJc w:val="left"/>
      <w:pPr>
        <w:ind w:left="3930" w:hanging="360"/>
      </w:pPr>
      <w:rPr>
        <w:rFonts w:ascii="Wingdings" w:hAnsi="Wingdings" w:hint="default"/>
      </w:rPr>
    </w:lvl>
    <w:lvl w:ilvl="6" w:tplc="08090001" w:tentative="1">
      <w:start w:val="1"/>
      <w:numFmt w:val="bullet"/>
      <w:lvlText w:val=""/>
      <w:lvlJc w:val="left"/>
      <w:pPr>
        <w:ind w:left="4650" w:hanging="360"/>
      </w:pPr>
      <w:rPr>
        <w:rFonts w:ascii="Symbol" w:hAnsi="Symbol" w:hint="default"/>
      </w:rPr>
    </w:lvl>
    <w:lvl w:ilvl="7" w:tplc="08090003" w:tentative="1">
      <w:start w:val="1"/>
      <w:numFmt w:val="bullet"/>
      <w:lvlText w:val="o"/>
      <w:lvlJc w:val="left"/>
      <w:pPr>
        <w:ind w:left="5370" w:hanging="360"/>
      </w:pPr>
      <w:rPr>
        <w:rFonts w:ascii="Courier New" w:hAnsi="Courier New" w:cs="Courier New" w:hint="default"/>
      </w:rPr>
    </w:lvl>
    <w:lvl w:ilvl="8" w:tplc="08090005" w:tentative="1">
      <w:start w:val="1"/>
      <w:numFmt w:val="bullet"/>
      <w:lvlText w:val=""/>
      <w:lvlJc w:val="left"/>
      <w:pPr>
        <w:ind w:left="6090" w:hanging="360"/>
      </w:pPr>
      <w:rPr>
        <w:rFonts w:ascii="Wingdings" w:hAnsi="Wingdings" w:hint="default"/>
      </w:rPr>
    </w:lvl>
  </w:abstractNum>
  <w:abstractNum w:abstractNumId="9">
    <w:nsid w:val="3F513F67"/>
    <w:multiLevelType w:val="hybridMultilevel"/>
    <w:tmpl w:val="3E5CADE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nsid w:val="44E24961"/>
    <w:multiLevelType w:val="hybridMultilevel"/>
    <w:tmpl w:val="CFF8DEDE"/>
    <w:lvl w:ilvl="0" w:tplc="D6CCF95E">
      <w:start w:val="1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7B77064"/>
    <w:multiLevelType w:val="hybridMultilevel"/>
    <w:tmpl w:val="FAF635A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nsid w:val="4F650F48"/>
    <w:multiLevelType w:val="hybridMultilevel"/>
    <w:tmpl w:val="0084360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nsid w:val="539E1D9C"/>
    <w:multiLevelType w:val="hybridMultilevel"/>
    <w:tmpl w:val="D2A49218"/>
    <w:lvl w:ilvl="0" w:tplc="46324D9C">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4A50038"/>
    <w:multiLevelType w:val="hybridMultilevel"/>
    <w:tmpl w:val="1C567F1E"/>
    <w:lvl w:ilvl="0" w:tplc="8140081C">
      <w:start w:val="1"/>
      <w:numFmt w:val="upperRoman"/>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5">
    <w:nsid w:val="5B076448"/>
    <w:multiLevelType w:val="hybridMultilevel"/>
    <w:tmpl w:val="F2BE1E3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nsid w:val="641F4BD0"/>
    <w:multiLevelType w:val="hybridMultilevel"/>
    <w:tmpl w:val="520C1596"/>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506" w:hanging="360"/>
      </w:pPr>
      <w:rPr>
        <w:rFonts w:ascii="Courier New" w:hAnsi="Courier New" w:cs="Courier New" w:hint="default"/>
      </w:rPr>
    </w:lvl>
    <w:lvl w:ilvl="2" w:tplc="08090005">
      <w:start w:val="1"/>
      <w:numFmt w:val="bullet"/>
      <w:lvlText w:val=""/>
      <w:lvlJc w:val="left"/>
      <w:pPr>
        <w:ind w:left="2226" w:hanging="360"/>
      </w:pPr>
      <w:rPr>
        <w:rFonts w:ascii="Wingdings" w:hAnsi="Wingdings" w:hint="default"/>
      </w:rPr>
    </w:lvl>
    <w:lvl w:ilvl="3" w:tplc="08090001">
      <w:start w:val="1"/>
      <w:numFmt w:val="bullet"/>
      <w:lvlText w:val=""/>
      <w:lvlJc w:val="left"/>
      <w:pPr>
        <w:ind w:left="2946" w:hanging="360"/>
      </w:pPr>
      <w:rPr>
        <w:rFonts w:ascii="Symbol" w:hAnsi="Symbol" w:hint="default"/>
      </w:rPr>
    </w:lvl>
    <w:lvl w:ilvl="4" w:tplc="08090003">
      <w:start w:val="1"/>
      <w:numFmt w:val="bullet"/>
      <w:lvlText w:val="o"/>
      <w:lvlJc w:val="left"/>
      <w:pPr>
        <w:ind w:left="3666" w:hanging="360"/>
      </w:pPr>
      <w:rPr>
        <w:rFonts w:ascii="Courier New" w:hAnsi="Courier New" w:cs="Courier New" w:hint="default"/>
      </w:rPr>
    </w:lvl>
    <w:lvl w:ilvl="5" w:tplc="08090005">
      <w:start w:val="1"/>
      <w:numFmt w:val="bullet"/>
      <w:lvlText w:val=""/>
      <w:lvlJc w:val="left"/>
      <w:pPr>
        <w:ind w:left="4386" w:hanging="360"/>
      </w:pPr>
      <w:rPr>
        <w:rFonts w:ascii="Wingdings" w:hAnsi="Wingdings" w:hint="default"/>
      </w:rPr>
    </w:lvl>
    <w:lvl w:ilvl="6" w:tplc="08090001">
      <w:start w:val="1"/>
      <w:numFmt w:val="bullet"/>
      <w:lvlText w:val=""/>
      <w:lvlJc w:val="left"/>
      <w:pPr>
        <w:ind w:left="5106" w:hanging="360"/>
      </w:pPr>
      <w:rPr>
        <w:rFonts w:ascii="Symbol" w:hAnsi="Symbol" w:hint="default"/>
      </w:rPr>
    </w:lvl>
    <w:lvl w:ilvl="7" w:tplc="08090003">
      <w:start w:val="1"/>
      <w:numFmt w:val="bullet"/>
      <w:lvlText w:val="o"/>
      <w:lvlJc w:val="left"/>
      <w:pPr>
        <w:ind w:left="5826" w:hanging="360"/>
      </w:pPr>
      <w:rPr>
        <w:rFonts w:ascii="Courier New" w:hAnsi="Courier New" w:cs="Courier New" w:hint="default"/>
      </w:rPr>
    </w:lvl>
    <w:lvl w:ilvl="8" w:tplc="08090005">
      <w:start w:val="1"/>
      <w:numFmt w:val="bullet"/>
      <w:lvlText w:val=""/>
      <w:lvlJc w:val="left"/>
      <w:pPr>
        <w:ind w:left="6546" w:hanging="360"/>
      </w:pPr>
      <w:rPr>
        <w:rFonts w:ascii="Wingdings" w:hAnsi="Wingdings" w:hint="default"/>
      </w:rPr>
    </w:lvl>
  </w:abstractNum>
  <w:abstractNum w:abstractNumId="17">
    <w:nsid w:val="6A1F7188"/>
    <w:multiLevelType w:val="hybridMultilevel"/>
    <w:tmpl w:val="0AC0B4D6"/>
    <w:lvl w:ilvl="0" w:tplc="46324D9C">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B445DEF"/>
    <w:multiLevelType w:val="hybridMultilevel"/>
    <w:tmpl w:val="CF404860"/>
    <w:lvl w:ilvl="0" w:tplc="3A5643BC">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BD6490F"/>
    <w:multiLevelType w:val="hybridMultilevel"/>
    <w:tmpl w:val="6B42545A"/>
    <w:lvl w:ilvl="0" w:tplc="46324D9C">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23A6A87"/>
    <w:multiLevelType w:val="hybridMultilevel"/>
    <w:tmpl w:val="FD148C1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1">
    <w:nsid w:val="7B665766"/>
    <w:multiLevelType w:val="hybridMultilevel"/>
    <w:tmpl w:val="DF10ED9C"/>
    <w:lvl w:ilvl="0" w:tplc="46324D9C">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B8B4866"/>
    <w:multiLevelType w:val="hybridMultilevel"/>
    <w:tmpl w:val="5CB6226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0"/>
  </w:num>
  <w:num w:numId="2">
    <w:abstractNumId w:val="3"/>
  </w:num>
  <w:num w:numId="3">
    <w:abstractNumId w:val="4"/>
  </w:num>
  <w:num w:numId="4">
    <w:abstractNumId w:val="14"/>
  </w:num>
  <w:num w:numId="5">
    <w:abstractNumId w:val="12"/>
  </w:num>
  <w:num w:numId="6">
    <w:abstractNumId w:val="18"/>
  </w:num>
  <w:num w:numId="7">
    <w:abstractNumId w:val="10"/>
  </w:num>
  <w:num w:numId="8">
    <w:abstractNumId w:val="7"/>
  </w:num>
  <w:num w:numId="9">
    <w:abstractNumId w:val="1"/>
  </w:num>
  <w:num w:numId="10">
    <w:abstractNumId w:val="5"/>
  </w:num>
  <w:num w:numId="11">
    <w:abstractNumId w:val="16"/>
  </w:num>
  <w:num w:numId="12">
    <w:abstractNumId w:val="13"/>
  </w:num>
  <w:num w:numId="13">
    <w:abstractNumId w:val="17"/>
  </w:num>
  <w:num w:numId="14">
    <w:abstractNumId w:val="21"/>
  </w:num>
  <w:num w:numId="15">
    <w:abstractNumId w:val="11"/>
  </w:num>
  <w:num w:numId="16">
    <w:abstractNumId w:val="20"/>
  </w:num>
  <w:num w:numId="17">
    <w:abstractNumId w:val="19"/>
  </w:num>
  <w:num w:numId="18">
    <w:abstractNumId w:val="9"/>
  </w:num>
  <w:num w:numId="19">
    <w:abstractNumId w:val="15"/>
  </w:num>
  <w:num w:numId="20">
    <w:abstractNumId w:val="22"/>
  </w:num>
  <w:num w:numId="21">
    <w:abstractNumId w:val="2"/>
  </w:num>
  <w:num w:numId="22">
    <w:abstractNumId w:val="6"/>
  </w:num>
  <w:num w:numId="23">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C4D"/>
    <w:rsid w:val="000030A0"/>
    <w:rsid w:val="00005681"/>
    <w:rsid w:val="00006806"/>
    <w:rsid w:val="000116FF"/>
    <w:rsid w:val="000150BE"/>
    <w:rsid w:val="000209F8"/>
    <w:rsid w:val="000226F8"/>
    <w:rsid w:val="00022CD2"/>
    <w:rsid w:val="0003315D"/>
    <w:rsid w:val="00035147"/>
    <w:rsid w:val="000359CD"/>
    <w:rsid w:val="00035A9B"/>
    <w:rsid w:val="00035D3E"/>
    <w:rsid w:val="000372FD"/>
    <w:rsid w:val="00037810"/>
    <w:rsid w:val="00044EED"/>
    <w:rsid w:val="000512FC"/>
    <w:rsid w:val="00061638"/>
    <w:rsid w:val="000656DC"/>
    <w:rsid w:val="0007119E"/>
    <w:rsid w:val="000800A8"/>
    <w:rsid w:val="000824E5"/>
    <w:rsid w:val="00083C8A"/>
    <w:rsid w:val="00083E8E"/>
    <w:rsid w:val="00094258"/>
    <w:rsid w:val="000943BA"/>
    <w:rsid w:val="00097027"/>
    <w:rsid w:val="000A1F5E"/>
    <w:rsid w:val="000A2EF0"/>
    <w:rsid w:val="000A59AB"/>
    <w:rsid w:val="000A6EFA"/>
    <w:rsid w:val="000B2944"/>
    <w:rsid w:val="000C3F41"/>
    <w:rsid w:val="000C3F42"/>
    <w:rsid w:val="000C5C80"/>
    <w:rsid w:val="000C5DA1"/>
    <w:rsid w:val="000C61B2"/>
    <w:rsid w:val="000C7E80"/>
    <w:rsid w:val="000E3982"/>
    <w:rsid w:val="000E3AD2"/>
    <w:rsid w:val="000E4872"/>
    <w:rsid w:val="000F1F36"/>
    <w:rsid w:val="000F409C"/>
    <w:rsid w:val="000F4153"/>
    <w:rsid w:val="000F72BC"/>
    <w:rsid w:val="0010086E"/>
    <w:rsid w:val="00103614"/>
    <w:rsid w:val="00105B32"/>
    <w:rsid w:val="00106D28"/>
    <w:rsid w:val="001135F8"/>
    <w:rsid w:val="00114E27"/>
    <w:rsid w:val="00116A1A"/>
    <w:rsid w:val="00117CE9"/>
    <w:rsid w:val="00120434"/>
    <w:rsid w:val="00123CDC"/>
    <w:rsid w:val="001312CC"/>
    <w:rsid w:val="0013217E"/>
    <w:rsid w:val="001332FB"/>
    <w:rsid w:val="0013589B"/>
    <w:rsid w:val="001511AA"/>
    <w:rsid w:val="001552CD"/>
    <w:rsid w:val="00155B6E"/>
    <w:rsid w:val="00160A94"/>
    <w:rsid w:val="00161381"/>
    <w:rsid w:val="001662D8"/>
    <w:rsid w:val="00172CC0"/>
    <w:rsid w:val="0018188C"/>
    <w:rsid w:val="00182BE8"/>
    <w:rsid w:val="0018663D"/>
    <w:rsid w:val="001918F7"/>
    <w:rsid w:val="001955EA"/>
    <w:rsid w:val="001A0D94"/>
    <w:rsid w:val="001A38FB"/>
    <w:rsid w:val="001A59EF"/>
    <w:rsid w:val="001A7428"/>
    <w:rsid w:val="001B71A6"/>
    <w:rsid w:val="001C12BA"/>
    <w:rsid w:val="001C14DE"/>
    <w:rsid w:val="001C2C32"/>
    <w:rsid w:val="001C5873"/>
    <w:rsid w:val="001D1A03"/>
    <w:rsid w:val="001D1CE1"/>
    <w:rsid w:val="001D52EF"/>
    <w:rsid w:val="001D7CD8"/>
    <w:rsid w:val="001E7A5E"/>
    <w:rsid w:val="001F236C"/>
    <w:rsid w:val="001F3FA7"/>
    <w:rsid w:val="00200CC5"/>
    <w:rsid w:val="00204166"/>
    <w:rsid w:val="002059C1"/>
    <w:rsid w:val="002067B3"/>
    <w:rsid w:val="00210798"/>
    <w:rsid w:val="00211DE3"/>
    <w:rsid w:val="00212B06"/>
    <w:rsid w:val="002168D6"/>
    <w:rsid w:val="00217B95"/>
    <w:rsid w:val="00222D83"/>
    <w:rsid w:val="00225BFE"/>
    <w:rsid w:val="00227C81"/>
    <w:rsid w:val="00240250"/>
    <w:rsid w:val="00240A01"/>
    <w:rsid w:val="002461BE"/>
    <w:rsid w:val="00253880"/>
    <w:rsid w:val="00260B0E"/>
    <w:rsid w:val="00263649"/>
    <w:rsid w:val="00265840"/>
    <w:rsid w:val="0026668B"/>
    <w:rsid w:val="002730E7"/>
    <w:rsid w:val="00274856"/>
    <w:rsid w:val="00283734"/>
    <w:rsid w:val="002853B4"/>
    <w:rsid w:val="0028751D"/>
    <w:rsid w:val="002913F5"/>
    <w:rsid w:val="00293CF3"/>
    <w:rsid w:val="00294C46"/>
    <w:rsid w:val="002A465B"/>
    <w:rsid w:val="002B1B9E"/>
    <w:rsid w:val="002B3272"/>
    <w:rsid w:val="002B3F3D"/>
    <w:rsid w:val="002B79FC"/>
    <w:rsid w:val="002C35AB"/>
    <w:rsid w:val="002D0CDF"/>
    <w:rsid w:val="002D3856"/>
    <w:rsid w:val="002E2A7E"/>
    <w:rsid w:val="002E7245"/>
    <w:rsid w:val="002E7B2E"/>
    <w:rsid w:val="002F058F"/>
    <w:rsid w:val="002F1875"/>
    <w:rsid w:val="002F40E8"/>
    <w:rsid w:val="002F7B75"/>
    <w:rsid w:val="003072AE"/>
    <w:rsid w:val="00315362"/>
    <w:rsid w:val="0032749E"/>
    <w:rsid w:val="00330299"/>
    <w:rsid w:val="00330BE7"/>
    <w:rsid w:val="00332507"/>
    <w:rsid w:val="003325B6"/>
    <w:rsid w:val="0033385A"/>
    <w:rsid w:val="0033503E"/>
    <w:rsid w:val="00335660"/>
    <w:rsid w:val="003473B2"/>
    <w:rsid w:val="00350047"/>
    <w:rsid w:val="0035020F"/>
    <w:rsid w:val="0035126E"/>
    <w:rsid w:val="0035451F"/>
    <w:rsid w:val="00354C82"/>
    <w:rsid w:val="00356672"/>
    <w:rsid w:val="00362BDE"/>
    <w:rsid w:val="00372049"/>
    <w:rsid w:val="003725E4"/>
    <w:rsid w:val="0037288A"/>
    <w:rsid w:val="003741D2"/>
    <w:rsid w:val="00377013"/>
    <w:rsid w:val="00384F1A"/>
    <w:rsid w:val="00387A11"/>
    <w:rsid w:val="003A197C"/>
    <w:rsid w:val="003B022E"/>
    <w:rsid w:val="003B077C"/>
    <w:rsid w:val="003B7B73"/>
    <w:rsid w:val="003C5909"/>
    <w:rsid w:val="003C712C"/>
    <w:rsid w:val="003D6B03"/>
    <w:rsid w:val="003D700B"/>
    <w:rsid w:val="003E1847"/>
    <w:rsid w:val="003E28CA"/>
    <w:rsid w:val="003E6245"/>
    <w:rsid w:val="003F462C"/>
    <w:rsid w:val="00401946"/>
    <w:rsid w:val="00402EA9"/>
    <w:rsid w:val="00411114"/>
    <w:rsid w:val="00413E26"/>
    <w:rsid w:val="00416F5F"/>
    <w:rsid w:val="00417135"/>
    <w:rsid w:val="004258ED"/>
    <w:rsid w:val="004331BA"/>
    <w:rsid w:val="00435C74"/>
    <w:rsid w:val="00444E8B"/>
    <w:rsid w:val="00445174"/>
    <w:rsid w:val="0045464F"/>
    <w:rsid w:val="00454796"/>
    <w:rsid w:val="004563C8"/>
    <w:rsid w:val="00463DCF"/>
    <w:rsid w:val="00463E24"/>
    <w:rsid w:val="004651DF"/>
    <w:rsid w:val="00472F74"/>
    <w:rsid w:val="004735DB"/>
    <w:rsid w:val="0047431D"/>
    <w:rsid w:val="00474485"/>
    <w:rsid w:val="00475F85"/>
    <w:rsid w:val="004828D3"/>
    <w:rsid w:val="00486412"/>
    <w:rsid w:val="00491160"/>
    <w:rsid w:val="0049146A"/>
    <w:rsid w:val="004935F2"/>
    <w:rsid w:val="00493B65"/>
    <w:rsid w:val="004A2A9F"/>
    <w:rsid w:val="004A3F68"/>
    <w:rsid w:val="004A494A"/>
    <w:rsid w:val="004A5381"/>
    <w:rsid w:val="004A700B"/>
    <w:rsid w:val="004B0400"/>
    <w:rsid w:val="004B19A9"/>
    <w:rsid w:val="004B2094"/>
    <w:rsid w:val="004B2C60"/>
    <w:rsid w:val="004B77FC"/>
    <w:rsid w:val="004C0542"/>
    <w:rsid w:val="004C0C0E"/>
    <w:rsid w:val="004C43DE"/>
    <w:rsid w:val="004D034A"/>
    <w:rsid w:val="004D33D0"/>
    <w:rsid w:val="004D4BC9"/>
    <w:rsid w:val="004D67CD"/>
    <w:rsid w:val="004E0B74"/>
    <w:rsid w:val="004F74DE"/>
    <w:rsid w:val="004F7B45"/>
    <w:rsid w:val="005044C6"/>
    <w:rsid w:val="005064F0"/>
    <w:rsid w:val="005101F7"/>
    <w:rsid w:val="00514497"/>
    <w:rsid w:val="00516A5C"/>
    <w:rsid w:val="00520C82"/>
    <w:rsid w:val="00521DC4"/>
    <w:rsid w:val="00523C31"/>
    <w:rsid w:val="005266AA"/>
    <w:rsid w:val="00526E3B"/>
    <w:rsid w:val="00527607"/>
    <w:rsid w:val="00530F4A"/>
    <w:rsid w:val="005313BC"/>
    <w:rsid w:val="00531F1E"/>
    <w:rsid w:val="005323C6"/>
    <w:rsid w:val="0053306E"/>
    <w:rsid w:val="00533B94"/>
    <w:rsid w:val="00533FD2"/>
    <w:rsid w:val="00536C64"/>
    <w:rsid w:val="00541DC1"/>
    <w:rsid w:val="005506D6"/>
    <w:rsid w:val="00551191"/>
    <w:rsid w:val="00554844"/>
    <w:rsid w:val="005578C1"/>
    <w:rsid w:val="0056210B"/>
    <w:rsid w:val="0056251F"/>
    <w:rsid w:val="005630E7"/>
    <w:rsid w:val="00567018"/>
    <w:rsid w:val="00570D05"/>
    <w:rsid w:val="00583B45"/>
    <w:rsid w:val="005905C2"/>
    <w:rsid w:val="005917AE"/>
    <w:rsid w:val="005925B6"/>
    <w:rsid w:val="005976C4"/>
    <w:rsid w:val="005A38B3"/>
    <w:rsid w:val="005A5B9F"/>
    <w:rsid w:val="005A664C"/>
    <w:rsid w:val="005B0232"/>
    <w:rsid w:val="005B2AF6"/>
    <w:rsid w:val="005C4131"/>
    <w:rsid w:val="005D33C2"/>
    <w:rsid w:val="005D3F27"/>
    <w:rsid w:val="005D44A4"/>
    <w:rsid w:val="005D4C4D"/>
    <w:rsid w:val="005D546F"/>
    <w:rsid w:val="005D6C51"/>
    <w:rsid w:val="005D6DCA"/>
    <w:rsid w:val="005E0A67"/>
    <w:rsid w:val="005E0B00"/>
    <w:rsid w:val="005E7711"/>
    <w:rsid w:val="005F14EF"/>
    <w:rsid w:val="005F174D"/>
    <w:rsid w:val="005F4140"/>
    <w:rsid w:val="005F7D21"/>
    <w:rsid w:val="00600995"/>
    <w:rsid w:val="00601057"/>
    <w:rsid w:val="00603981"/>
    <w:rsid w:val="00603E8E"/>
    <w:rsid w:val="00607866"/>
    <w:rsid w:val="0061340A"/>
    <w:rsid w:val="00613D43"/>
    <w:rsid w:val="006173D8"/>
    <w:rsid w:val="006251C1"/>
    <w:rsid w:val="00635911"/>
    <w:rsid w:val="0065305B"/>
    <w:rsid w:val="00654A79"/>
    <w:rsid w:val="00656E91"/>
    <w:rsid w:val="00662A0F"/>
    <w:rsid w:val="00670340"/>
    <w:rsid w:val="00675C69"/>
    <w:rsid w:val="00676008"/>
    <w:rsid w:val="00677B45"/>
    <w:rsid w:val="00682D25"/>
    <w:rsid w:val="0068485E"/>
    <w:rsid w:val="00687F6F"/>
    <w:rsid w:val="0069059C"/>
    <w:rsid w:val="00691981"/>
    <w:rsid w:val="0069250F"/>
    <w:rsid w:val="00693ED6"/>
    <w:rsid w:val="00697879"/>
    <w:rsid w:val="006A5B5A"/>
    <w:rsid w:val="006B2096"/>
    <w:rsid w:val="006C24A9"/>
    <w:rsid w:val="006C7363"/>
    <w:rsid w:val="006D20BA"/>
    <w:rsid w:val="006D645E"/>
    <w:rsid w:val="006D7D0D"/>
    <w:rsid w:val="006E1B35"/>
    <w:rsid w:val="006E1B5A"/>
    <w:rsid w:val="006E1BC3"/>
    <w:rsid w:val="006E36F3"/>
    <w:rsid w:val="006E3831"/>
    <w:rsid w:val="006E44BB"/>
    <w:rsid w:val="006E67C4"/>
    <w:rsid w:val="006F3808"/>
    <w:rsid w:val="006F4BA2"/>
    <w:rsid w:val="006F5910"/>
    <w:rsid w:val="00701296"/>
    <w:rsid w:val="00701D7D"/>
    <w:rsid w:val="00704730"/>
    <w:rsid w:val="007053CF"/>
    <w:rsid w:val="00706224"/>
    <w:rsid w:val="007070D0"/>
    <w:rsid w:val="00710466"/>
    <w:rsid w:val="00710A17"/>
    <w:rsid w:val="007137F7"/>
    <w:rsid w:val="00714894"/>
    <w:rsid w:val="007154CE"/>
    <w:rsid w:val="0072307E"/>
    <w:rsid w:val="0072591D"/>
    <w:rsid w:val="00727179"/>
    <w:rsid w:val="00727ED1"/>
    <w:rsid w:val="00740F03"/>
    <w:rsid w:val="00741810"/>
    <w:rsid w:val="007427D4"/>
    <w:rsid w:val="00752C6B"/>
    <w:rsid w:val="00764079"/>
    <w:rsid w:val="00766998"/>
    <w:rsid w:val="0077104B"/>
    <w:rsid w:val="00771F55"/>
    <w:rsid w:val="00773961"/>
    <w:rsid w:val="0077440D"/>
    <w:rsid w:val="00775A30"/>
    <w:rsid w:val="00777F68"/>
    <w:rsid w:val="00777FC6"/>
    <w:rsid w:val="0078409C"/>
    <w:rsid w:val="007A68B2"/>
    <w:rsid w:val="007B314C"/>
    <w:rsid w:val="007C1DC6"/>
    <w:rsid w:val="007C6046"/>
    <w:rsid w:val="007C63CC"/>
    <w:rsid w:val="007D13DA"/>
    <w:rsid w:val="007D331D"/>
    <w:rsid w:val="007E1B08"/>
    <w:rsid w:val="007F1631"/>
    <w:rsid w:val="007F3944"/>
    <w:rsid w:val="007F5272"/>
    <w:rsid w:val="007F5BF2"/>
    <w:rsid w:val="007F6E5E"/>
    <w:rsid w:val="007F76F2"/>
    <w:rsid w:val="0080618D"/>
    <w:rsid w:val="00814BB4"/>
    <w:rsid w:val="00815488"/>
    <w:rsid w:val="00815E85"/>
    <w:rsid w:val="0082449A"/>
    <w:rsid w:val="00824A81"/>
    <w:rsid w:val="008306D4"/>
    <w:rsid w:val="008346CA"/>
    <w:rsid w:val="00834BCC"/>
    <w:rsid w:val="0083795F"/>
    <w:rsid w:val="008455D5"/>
    <w:rsid w:val="00846DC5"/>
    <w:rsid w:val="00851BB4"/>
    <w:rsid w:val="0085475D"/>
    <w:rsid w:val="00855B96"/>
    <w:rsid w:val="00871681"/>
    <w:rsid w:val="0087523F"/>
    <w:rsid w:val="00877A3D"/>
    <w:rsid w:val="00885D91"/>
    <w:rsid w:val="008919F7"/>
    <w:rsid w:val="00891DC1"/>
    <w:rsid w:val="00895AE4"/>
    <w:rsid w:val="008A4353"/>
    <w:rsid w:val="008A7BD9"/>
    <w:rsid w:val="008B286F"/>
    <w:rsid w:val="008C1A0F"/>
    <w:rsid w:val="008C1BB8"/>
    <w:rsid w:val="008C5C1C"/>
    <w:rsid w:val="008D3203"/>
    <w:rsid w:val="008E001F"/>
    <w:rsid w:val="008E09D0"/>
    <w:rsid w:val="008E1145"/>
    <w:rsid w:val="008E285A"/>
    <w:rsid w:val="008E5A73"/>
    <w:rsid w:val="008F289B"/>
    <w:rsid w:val="008F4DA3"/>
    <w:rsid w:val="008F67EF"/>
    <w:rsid w:val="008F7B19"/>
    <w:rsid w:val="00900C7F"/>
    <w:rsid w:val="00903458"/>
    <w:rsid w:val="00903C3C"/>
    <w:rsid w:val="009051BE"/>
    <w:rsid w:val="0091176F"/>
    <w:rsid w:val="00912361"/>
    <w:rsid w:val="009142E5"/>
    <w:rsid w:val="00915EC3"/>
    <w:rsid w:val="009176DB"/>
    <w:rsid w:val="00922EBF"/>
    <w:rsid w:val="00926E63"/>
    <w:rsid w:val="00934EA9"/>
    <w:rsid w:val="00941E4F"/>
    <w:rsid w:val="00945E7B"/>
    <w:rsid w:val="0094682F"/>
    <w:rsid w:val="009473F5"/>
    <w:rsid w:val="009538B4"/>
    <w:rsid w:val="0096047C"/>
    <w:rsid w:val="009620A8"/>
    <w:rsid w:val="0096633B"/>
    <w:rsid w:val="00966BBE"/>
    <w:rsid w:val="0096749E"/>
    <w:rsid w:val="00971E0D"/>
    <w:rsid w:val="00972FEF"/>
    <w:rsid w:val="00976E30"/>
    <w:rsid w:val="0098273F"/>
    <w:rsid w:val="00986C1F"/>
    <w:rsid w:val="00993A4E"/>
    <w:rsid w:val="00995E4A"/>
    <w:rsid w:val="009B17D6"/>
    <w:rsid w:val="009B2610"/>
    <w:rsid w:val="009B2ED0"/>
    <w:rsid w:val="009B3D3E"/>
    <w:rsid w:val="009B5A72"/>
    <w:rsid w:val="009C004C"/>
    <w:rsid w:val="009D3912"/>
    <w:rsid w:val="009D3FFE"/>
    <w:rsid w:val="009D6722"/>
    <w:rsid w:val="009D7937"/>
    <w:rsid w:val="009E0A5A"/>
    <w:rsid w:val="009E34F6"/>
    <w:rsid w:val="009E6D5E"/>
    <w:rsid w:val="009F6875"/>
    <w:rsid w:val="00A01542"/>
    <w:rsid w:val="00A01D6B"/>
    <w:rsid w:val="00A04E24"/>
    <w:rsid w:val="00A06DE4"/>
    <w:rsid w:val="00A10B89"/>
    <w:rsid w:val="00A20074"/>
    <w:rsid w:val="00A21178"/>
    <w:rsid w:val="00A24256"/>
    <w:rsid w:val="00A27069"/>
    <w:rsid w:val="00A32774"/>
    <w:rsid w:val="00A32A7B"/>
    <w:rsid w:val="00A3538B"/>
    <w:rsid w:val="00A36D0D"/>
    <w:rsid w:val="00A4088F"/>
    <w:rsid w:val="00A40943"/>
    <w:rsid w:val="00A4396F"/>
    <w:rsid w:val="00A45D10"/>
    <w:rsid w:val="00A47CCA"/>
    <w:rsid w:val="00A50E23"/>
    <w:rsid w:val="00A51044"/>
    <w:rsid w:val="00A566D4"/>
    <w:rsid w:val="00A60507"/>
    <w:rsid w:val="00A65250"/>
    <w:rsid w:val="00A7570E"/>
    <w:rsid w:val="00A765CE"/>
    <w:rsid w:val="00A77C53"/>
    <w:rsid w:val="00A8286B"/>
    <w:rsid w:val="00A840F5"/>
    <w:rsid w:val="00A905DF"/>
    <w:rsid w:val="00A91CBA"/>
    <w:rsid w:val="00A97EDB"/>
    <w:rsid w:val="00AA082E"/>
    <w:rsid w:val="00AA5C80"/>
    <w:rsid w:val="00AA601A"/>
    <w:rsid w:val="00AA7C75"/>
    <w:rsid w:val="00AB1A3D"/>
    <w:rsid w:val="00AB1B1F"/>
    <w:rsid w:val="00AC4B4B"/>
    <w:rsid w:val="00AC5820"/>
    <w:rsid w:val="00AC616F"/>
    <w:rsid w:val="00AC6D86"/>
    <w:rsid w:val="00AD08CE"/>
    <w:rsid w:val="00AD0F68"/>
    <w:rsid w:val="00AD3823"/>
    <w:rsid w:val="00AD6B0C"/>
    <w:rsid w:val="00AE0538"/>
    <w:rsid w:val="00AE12E9"/>
    <w:rsid w:val="00AF08EC"/>
    <w:rsid w:val="00AF5A15"/>
    <w:rsid w:val="00AF7455"/>
    <w:rsid w:val="00AF79B7"/>
    <w:rsid w:val="00B05FE6"/>
    <w:rsid w:val="00B10289"/>
    <w:rsid w:val="00B10A93"/>
    <w:rsid w:val="00B10F8A"/>
    <w:rsid w:val="00B11021"/>
    <w:rsid w:val="00B1424E"/>
    <w:rsid w:val="00B17A5F"/>
    <w:rsid w:val="00B227BD"/>
    <w:rsid w:val="00B23FD9"/>
    <w:rsid w:val="00B27D00"/>
    <w:rsid w:val="00B35F74"/>
    <w:rsid w:val="00B4694E"/>
    <w:rsid w:val="00B5477F"/>
    <w:rsid w:val="00B5509D"/>
    <w:rsid w:val="00B60D6F"/>
    <w:rsid w:val="00B647CA"/>
    <w:rsid w:val="00B64C35"/>
    <w:rsid w:val="00B72E67"/>
    <w:rsid w:val="00B72FD0"/>
    <w:rsid w:val="00B7705C"/>
    <w:rsid w:val="00B80F0F"/>
    <w:rsid w:val="00B822CF"/>
    <w:rsid w:val="00B84406"/>
    <w:rsid w:val="00B8588B"/>
    <w:rsid w:val="00B86D66"/>
    <w:rsid w:val="00B876E7"/>
    <w:rsid w:val="00B92D4E"/>
    <w:rsid w:val="00B93406"/>
    <w:rsid w:val="00B949C8"/>
    <w:rsid w:val="00BA0E6F"/>
    <w:rsid w:val="00BA1074"/>
    <w:rsid w:val="00BA2E9D"/>
    <w:rsid w:val="00BA385D"/>
    <w:rsid w:val="00BB69D8"/>
    <w:rsid w:val="00BB77BA"/>
    <w:rsid w:val="00BC75F6"/>
    <w:rsid w:val="00BD2CF5"/>
    <w:rsid w:val="00BD2F94"/>
    <w:rsid w:val="00BD3B30"/>
    <w:rsid w:val="00BD4A81"/>
    <w:rsid w:val="00BD7D8B"/>
    <w:rsid w:val="00BE03C0"/>
    <w:rsid w:val="00BE0411"/>
    <w:rsid w:val="00BE052E"/>
    <w:rsid w:val="00BE6C6D"/>
    <w:rsid w:val="00BF0264"/>
    <w:rsid w:val="00BF2C68"/>
    <w:rsid w:val="00BF345E"/>
    <w:rsid w:val="00BF5570"/>
    <w:rsid w:val="00C0207D"/>
    <w:rsid w:val="00C04168"/>
    <w:rsid w:val="00C042C7"/>
    <w:rsid w:val="00C045D2"/>
    <w:rsid w:val="00C05488"/>
    <w:rsid w:val="00C05AEE"/>
    <w:rsid w:val="00C10CA3"/>
    <w:rsid w:val="00C1367B"/>
    <w:rsid w:val="00C13FA7"/>
    <w:rsid w:val="00C170ED"/>
    <w:rsid w:val="00C21B6C"/>
    <w:rsid w:val="00C26D2B"/>
    <w:rsid w:val="00C311F3"/>
    <w:rsid w:val="00C3282B"/>
    <w:rsid w:val="00C33662"/>
    <w:rsid w:val="00C40145"/>
    <w:rsid w:val="00C40556"/>
    <w:rsid w:val="00C44636"/>
    <w:rsid w:val="00C52909"/>
    <w:rsid w:val="00C5428A"/>
    <w:rsid w:val="00C56C4C"/>
    <w:rsid w:val="00C612D6"/>
    <w:rsid w:val="00C612F5"/>
    <w:rsid w:val="00C618BF"/>
    <w:rsid w:val="00C64350"/>
    <w:rsid w:val="00C73655"/>
    <w:rsid w:val="00C75D40"/>
    <w:rsid w:val="00C769C9"/>
    <w:rsid w:val="00C83A76"/>
    <w:rsid w:val="00C83DA1"/>
    <w:rsid w:val="00C93F91"/>
    <w:rsid w:val="00C94258"/>
    <w:rsid w:val="00C9523E"/>
    <w:rsid w:val="00C95B34"/>
    <w:rsid w:val="00C95F06"/>
    <w:rsid w:val="00CA1732"/>
    <w:rsid w:val="00CA2DFA"/>
    <w:rsid w:val="00CA7E5E"/>
    <w:rsid w:val="00CB09C1"/>
    <w:rsid w:val="00CB1DA6"/>
    <w:rsid w:val="00CB5086"/>
    <w:rsid w:val="00CB6B73"/>
    <w:rsid w:val="00CC1BAC"/>
    <w:rsid w:val="00CC2F8A"/>
    <w:rsid w:val="00CC37F9"/>
    <w:rsid w:val="00CC3908"/>
    <w:rsid w:val="00CC5782"/>
    <w:rsid w:val="00CD0532"/>
    <w:rsid w:val="00CD3C50"/>
    <w:rsid w:val="00CD4C5D"/>
    <w:rsid w:val="00CE3DFC"/>
    <w:rsid w:val="00CE493A"/>
    <w:rsid w:val="00CE5596"/>
    <w:rsid w:val="00CF6B23"/>
    <w:rsid w:val="00CF6FA6"/>
    <w:rsid w:val="00D1078F"/>
    <w:rsid w:val="00D30906"/>
    <w:rsid w:val="00D3115F"/>
    <w:rsid w:val="00D324EB"/>
    <w:rsid w:val="00D327A9"/>
    <w:rsid w:val="00D3500F"/>
    <w:rsid w:val="00D407AF"/>
    <w:rsid w:val="00D44004"/>
    <w:rsid w:val="00D46E89"/>
    <w:rsid w:val="00D5019E"/>
    <w:rsid w:val="00D52515"/>
    <w:rsid w:val="00D52D74"/>
    <w:rsid w:val="00D54FA9"/>
    <w:rsid w:val="00D555A4"/>
    <w:rsid w:val="00D55B7F"/>
    <w:rsid w:val="00D73706"/>
    <w:rsid w:val="00D74C9D"/>
    <w:rsid w:val="00D90D6C"/>
    <w:rsid w:val="00DA0D01"/>
    <w:rsid w:val="00DA2561"/>
    <w:rsid w:val="00DA67C6"/>
    <w:rsid w:val="00DA7454"/>
    <w:rsid w:val="00DB3198"/>
    <w:rsid w:val="00DB6773"/>
    <w:rsid w:val="00DC4CD4"/>
    <w:rsid w:val="00DC7F06"/>
    <w:rsid w:val="00DD2A1D"/>
    <w:rsid w:val="00DD64C0"/>
    <w:rsid w:val="00DE11B2"/>
    <w:rsid w:val="00DE45FB"/>
    <w:rsid w:val="00DE5CF6"/>
    <w:rsid w:val="00DE6018"/>
    <w:rsid w:val="00DF2670"/>
    <w:rsid w:val="00DF72E5"/>
    <w:rsid w:val="00DF735B"/>
    <w:rsid w:val="00E03E41"/>
    <w:rsid w:val="00E04FE9"/>
    <w:rsid w:val="00E21168"/>
    <w:rsid w:val="00E21EE8"/>
    <w:rsid w:val="00E23A99"/>
    <w:rsid w:val="00E26FB2"/>
    <w:rsid w:val="00E273E7"/>
    <w:rsid w:val="00E30012"/>
    <w:rsid w:val="00E30D73"/>
    <w:rsid w:val="00E32A3E"/>
    <w:rsid w:val="00E34CB9"/>
    <w:rsid w:val="00E355D8"/>
    <w:rsid w:val="00E3691F"/>
    <w:rsid w:val="00E406B1"/>
    <w:rsid w:val="00E44776"/>
    <w:rsid w:val="00E44D19"/>
    <w:rsid w:val="00E519E0"/>
    <w:rsid w:val="00E542C4"/>
    <w:rsid w:val="00E60CE2"/>
    <w:rsid w:val="00E60EA3"/>
    <w:rsid w:val="00E61305"/>
    <w:rsid w:val="00E620C7"/>
    <w:rsid w:val="00E6586A"/>
    <w:rsid w:val="00E73998"/>
    <w:rsid w:val="00E863EB"/>
    <w:rsid w:val="00E9419C"/>
    <w:rsid w:val="00E9623A"/>
    <w:rsid w:val="00EA0E2B"/>
    <w:rsid w:val="00EA0EF8"/>
    <w:rsid w:val="00EA4D64"/>
    <w:rsid w:val="00EA62A2"/>
    <w:rsid w:val="00EA6F85"/>
    <w:rsid w:val="00EB300C"/>
    <w:rsid w:val="00EB5CBE"/>
    <w:rsid w:val="00EB5F90"/>
    <w:rsid w:val="00EB7189"/>
    <w:rsid w:val="00EC1C61"/>
    <w:rsid w:val="00EC4BF0"/>
    <w:rsid w:val="00EC4C3C"/>
    <w:rsid w:val="00EC4CED"/>
    <w:rsid w:val="00EC5640"/>
    <w:rsid w:val="00ED0EEB"/>
    <w:rsid w:val="00ED14DF"/>
    <w:rsid w:val="00ED2E19"/>
    <w:rsid w:val="00ED3C21"/>
    <w:rsid w:val="00ED50C4"/>
    <w:rsid w:val="00ED6660"/>
    <w:rsid w:val="00ED7D23"/>
    <w:rsid w:val="00EE5600"/>
    <w:rsid w:val="00EE693B"/>
    <w:rsid w:val="00EF0FA5"/>
    <w:rsid w:val="00EF18E8"/>
    <w:rsid w:val="00EF1FDC"/>
    <w:rsid w:val="00EF7125"/>
    <w:rsid w:val="00F001E4"/>
    <w:rsid w:val="00F02608"/>
    <w:rsid w:val="00F0793A"/>
    <w:rsid w:val="00F125B0"/>
    <w:rsid w:val="00F260C7"/>
    <w:rsid w:val="00F3031D"/>
    <w:rsid w:val="00F31074"/>
    <w:rsid w:val="00F41061"/>
    <w:rsid w:val="00F42C47"/>
    <w:rsid w:val="00F65931"/>
    <w:rsid w:val="00F65A44"/>
    <w:rsid w:val="00F67BAC"/>
    <w:rsid w:val="00F745A2"/>
    <w:rsid w:val="00F74CCF"/>
    <w:rsid w:val="00F7569D"/>
    <w:rsid w:val="00F75F74"/>
    <w:rsid w:val="00F860AC"/>
    <w:rsid w:val="00F920EE"/>
    <w:rsid w:val="00F932C4"/>
    <w:rsid w:val="00F93E02"/>
    <w:rsid w:val="00FA0170"/>
    <w:rsid w:val="00FA5461"/>
    <w:rsid w:val="00FA5881"/>
    <w:rsid w:val="00FB743D"/>
    <w:rsid w:val="00FB7C22"/>
    <w:rsid w:val="00FC4E1A"/>
    <w:rsid w:val="00FC5E67"/>
    <w:rsid w:val="00FD54EE"/>
    <w:rsid w:val="00FD555E"/>
    <w:rsid w:val="00FE1DBF"/>
    <w:rsid w:val="00FE49DE"/>
    <w:rsid w:val="00FE49E4"/>
    <w:rsid w:val="00FE561E"/>
    <w:rsid w:val="00FF187D"/>
    <w:rsid w:val="00FF56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5600"/>
    <w:rPr>
      <w:rFonts w:ascii="Arial" w:hAnsi="Arial"/>
      <w:sz w:val="24"/>
      <w:szCs w:val="24"/>
      <w:lang w:eastAsia="en-US"/>
    </w:rPr>
  </w:style>
  <w:style w:type="paragraph" w:styleId="Heading1">
    <w:name w:val="heading 1"/>
    <w:basedOn w:val="Normal"/>
    <w:next w:val="Normal"/>
    <w:qFormat/>
    <w:rsid w:val="005D4C4D"/>
    <w:pPr>
      <w:keepNext/>
      <w:outlineLvl w:val="0"/>
    </w:pPr>
    <w:rPr>
      <w:b/>
      <w:bCs/>
    </w:rPr>
  </w:style>
  <w:style w:type="paragraph" w:styleId="Heading4">
    <w:name w:val="heading 4"/>
    <w:basedOn w:val="Normal"/>
    <w:next w:val="Normal"/>
    <w:qFormat/>
    <w:rsid w:val="009B2ED0"/>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5D4C4D"/>
    <w:rPr>
      <w:sz w:val="16"/>
      <w:szCs w:val="16"/>
    </w:rPr>
  </w:style>
  <w:style w:type="paragraph" w:styleId="CommentText">
    <w:name w:val="annotation text"/>
    <w:basedOn w:val="Normal"/>
    <w:semiHidden/>
    <w:rsid w:val="005D4C4D"/>
    <w:rPr>
      <w:sz w:val="20"/>
      <w:szCs w:val="20"/>
    </w:rPr>
  </w:style>
  <w:style w:type="paragraph" w:styleId="BalloonText">
    <w:name w:val="Balloon Text"/>
    <w:basedOn w:val="Normal"/>
    <w:semiHidden/>
    <w:rsid w:val="005D4C4D"/>
    <w:rPr>
      <w:rFonts w:ascii="Tahoma" w:hAnsi="Tahoma" w:cs="Tahoma"/>
      <w:sz w:val="16"/>
      <w:szCs w:val="16"/>
    </w:rPr>
  </w:style>
  <w:style w:type="table" w:styleId="TableGrid">
    <w:name w:val="Table Grid"/>
    <w:basedOn w:val="TableNormal"/>
    <w:rsid w:val="006E1B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E355D8"/>
    <w:rPr>
      <w:b/>
      <w:bCs/>
    </w:rPr>
  </w:style>
  <w:style w:type="paragraph" w:styleId="Header">
    <w:name w:val="header"/>
    <w:basedOn w:val="Normal"/>
    <w:rsid w:val="00035147"/>
    <w:pPr>
      <w:tabs>
        <w:tab w:val="center" w:pos="4320"/>
        <w:tab w:val="right" w:pos="8640"/>
      </w:tabs>
    </w:pPr>
  </w:style>
  <w:style w:type="paragraph" w:styleId="Footer">
    <w:name w:val="footer"/>
    <w:basedOn w:val="Normal"/>
    <w:rsid w:val="00035147"/>
    <w:pPr>
      <w:tabs>
        <w:tab w:val="center" w:pos="4320"/>
        <w:tab w:val="right" w:pos="8640"/>
      </w:tabs>
    </w:pPr>
  </w:style>
  <w:style w:type="paragraph" w:styleId="BodyText">
    <w:name w:val="Body Text"/>
    <w:basedOn w:val="Normal"/>
    <w:rsid w:val="007F5BF2"/>
    <w:pPr>
      <w:autoSpaceDE w:val="0"/>
      <w:autoSpaceDN w:val="0"/>
      <w:adjustRightInd w:val="0"/>
      <w:jc w:val="center"/>
    </w:pPr>
    <w:rPr>
      <w:rFonts w:ascii="Verdana" w:hAnsi="Verdana"/>
      <w:b/>
      <w:bCs/>
      <w:color w:val="000000"/>
      <w:sz w:val="18"/>
      <w:szCs w:val="28"/>
    </w:rPr>
  </w:style>
  <w:style w:type="paragraph" w:styleId="DocumentMap">
    <w:name w:val="Document Map"/>
    <w:basedOn w:val="Normal"/>
    <w:semiHidden/>
    <w:rsid w:val="00B7705C"/>
    <w:pPr>
      <w:shd w:val="clear" w:color="auto" w:fill="000080"/>
    </w:pPr>
    <w:rPr>
      <w:rFonts w:ascii="Tahoma" w:hAnsi="Tahoma" w:cs="Tahoma"/>
      <w:sz w:val="20"/>
      <w:szCs w:val="20"/>
    </w:rPr>
  </w:style>
  <w:style w:type="character" w:styleId="Hyperlink">
    <w:name w:val="Hyperlink"/>
    <w:rsid w:val="00330BE7"/>
    <w:rPr>
      <w:color w:val="0000FF"/>
      <w:u w:val="single"/>
    </w:rPr>
  </w:style>
  <w:style w:type="paragraph" w:styleId="ListParagraph">
    <w:name w:val="List Paragraph"/>
    <w:basedOn w:val="Normal"/>
    <w:uiPriority w:val="34"/>
    <w:qFormat/>
    <w:rsid w:val="00EA6F85"/>
    <w:pPr>
      <w:ind w:left="720"/>
    </w:pPr>
  </w:style>
  <w:style w:type="table" w:customStyle="1" w:styleId="TableGrid1">
    <w:name w:val="Table Grid1"/>
    <w:basedOn w:val="TableNormal"/>
    <w:next w:val="TableGrid"/>
    <w:uiPriority w:val="59"/>
    <w:rsid w:val="00C73655"/>
    <w:rPr>
      <w:rFonts w:ascii="Arial" w:eastAsia="Calibri" w:hAnsi="Arial" w:cs="Arial"/>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5600"/>
    <w:rPr>
      <w:rFonts w:ascii="Arial" w:hAnsi="Arial"/>
      <w:sz w:val="24"/>
      <w:szCs w:val="24"/>
      <w:lang w:eastAsia="en-US"/>
    </w:rPr>
  </w:style>
  <w:style w:type="paragraph" w:styleId="Heading1">
    <w:name w:val="heading 1"/>
    <w:basedOn w:val="Normal"/>
    <w:next w:val="Normal"/>
    <w:qFormat/>
    <w:rsid w:val="005D4C4D"/>
    <w:pPr>
      <w:keepNext/>
      <w:outlineLvl w:val="0"/>
    </w:pPr>
    <w:rPr>
      <w:b/>
      <w:bCs/>
    </w:rPr>
  </w:style>
  <w:style w:type="paragraph" w:styleId="Heading4">
    <w:name w:val="heading 4"/>
    <w:basedOn w:val="Normal"/>
    <w:next w:val="Normal"/>
    <w:qFormat/>
    <w:rsid w:val="009B2ED0"/>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5D4C4D"/>
    <w:rPr>
      <w:sz w:val="16"/>
      <w:szCs w:val="16"/>
    </w:rPr>
  </w:style>
  <w:style w:type="paragraph" w:styleId="CommentText">
    <w:name w:val="annotation text"/>
    <w:basedOn w:val="Normal"/>
    <w:semiHidden/>
    <w:rsid w:val="005D4C4D"/>
    <w:rPr>
      <w:sz w:val="20"/>
      <w:szCs w:val="20"/>
    </w:rPr>
  </w:style>
  <w:style w:type="paragraph" w:styleId="BalloonText">
    <w:name w:val="Balloon Text"/>
    <w:basedOn w:val="Normal"/>
    <w:semiHidden/>
    <w:rsid w:val="005D4C4D"/>
    <w:rPr>
      <w:rFonts w:ascii="Tahoma" w:hAnsi="Tahoma" w:cs="Tahoma"/>
      <w:sz w:val="16"/>
      <w:szCs w:val="16"/>
    </w:rPr>
  </w:style>
  <w:style w:type="table" w:styleId="TableGrid">
    <w:name w:val="Table Grid"/>
    <w:basedOn w:val="TableNormal"/>
    <w:rsid w:val="006E1B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E355D8"/>
    <w:rPr>
      <w:b/>
      <w:bCs/>
    </w:rPr>
  </w:style>
  <w:style w:type="paragraph" w:styleId="Header">
    <w:name w:val="header"/>
    <w:basedOn w:val="Normal"/>
    <w:rsid w:val="00035147"/>
    <w:pPr>
      <w:tabs>
        <w:tab w:val="center" w:pos="4320"/>
        <w:tab w:val="right" w:pos="8640"/>
      </w:tabs>
    </w:pPr>
  </w:style>
  <w:style w:type="paragraph" w:styleId="Footer">
    <w:name w:val="footer"/>
    <w:basedOn w:val="Normal"/>
    <w:rsid w:val="00035147"/>
    <w:pPr>
      <w:tabs>
        <w:tab w:val="center" w:pos="4320"/>
        <w:tab w:val="right" w:pos="8640"/>
      </w:tabs>
    </w:pPr>
  </w:style>
  <w:style w:type="paragraph" w:styleId="BodyText">
    <w:name w:val="Body Text"/>
    <w:basedOn w:val="Normal"/>
    <w:rsid w:val="007F5BF2"/>
    <w:pPr>
      <w:autoSpaceDE w:val="0"/>
      <w:autoSpaceDN w:val="0"/>
      <w:adjustRightInd w:val="0"/>
      <w:jc w:val="center"/>
    </w:pPr>
    <w:rPr>
      <w:rFonts w:ascii="Verdana" w:hAnsi="Verdana"/>
      <w:b/>
      <w:bCs/>
      <w:color w:val="000000"/>
      <w:sz w:val="18"/>
      <w:szCs w:val="28"/>
    </w:rPr>
  </w:style>
  <w:style w:type="paragraph" w:styleId="DocumentMap">
    <w:name w:val="Document Map"/>
    <w:basedOn w:val="Normal"/>
    <w:semiHidden/>
    <w:rsid w:val="00B7705C"/>
    <w:pPr>
      <w:shd w:val="clear" w:color="auto" w:fill="000080"/>
    </w:pPr>
    <w:rPr>
      <w:rFonts w:ascii="Tahoma" w:hAnsi="Tahoma" w:cs="Tahoma"/>
      <w:sz w:val="20"/>
      <w:szCs w:val="20"/>
    </w:rPr>
  </w:style>
  <w:style w:type="character" w:styleId="Hyperlink">
    <w:name w:val="Hyperlink"/>
    <w:rsid w:val="00330BE7"/>
    <w:rPr>
      <w:color w:val="0000FF"/>
      <w:u w:val="single"/>
    </w:rPr>
  </w:style>
  <w:style w:type="paragraph" w:styleId="ListParagraph">
    <w:name w:val="List Paragraph"/>
    <w:basedOn w:val="Normal"/>
    <w:uiPriority w:val="34"/>
    <w:qFormat/>
    <w:rsid w:val="00EA6F85"/>
    <w:pPr>
      <w:ind w:left="720"/>
    </w:pPr>
  </w:style>
  <w:style w:type="table" w:customStyle="1" w:styleId="TableGrid1">
    <w:name w:val="Table Grid1"/>
    <w:basedOn w:val="TableNormal"/>
    <w:next w:val="TableGrid"/>
    <w:uiPriority w:val="59"/>
    <w:rsid w:val="00C73655"/>
    <w:rPr>
      <w:rFonts w:ascii="Arial" w:eastAsia="Calibri" w:hAnsi="Arial" w:cs="Arial"/>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82091">
      <w:bodyDiv w:val="1"/>
      <w:marLeft w:val="0"/>
      <w:marRight w:val="0"/>
      <w:marTop w:val="0"/>
      <w:marBottom w:val="0"/>
      <w:divBdr>
        <w:top w:val="none" w:sz="0" w:space="0" w:color="auto"/>
        <w:left w:val="none" w:sz="0" w:space="0" w:color="auto"/>
        <w:bottom w:val="none" w:sz="0" w:space="0" w:color="auto"/>
        <w:right w:val="none" w:sz="0" w:space="0" w:color="auto"/>
      </w:divBdr>
    </w:div>
    <w:div w:id="101807062">
      <w:bodyDiv w:val="1"/>
      <w:marLeft w:val="0"/>
      <w:marRight w:val="0"/>
      <w:marTop w:val="0"/>
      <w:marBottom w:val="0"/>
      <w:divBdr>
        <w:top w:val="none" w:sz="0" w:space="0" w:color="auto"/>
        <w:left w:val="none" w:sz="0" w:space="0" w:color="auto"/>
        <w:bottom w:val="none" w:sz="0" w:space="0" w:color="auto"/>
        <w:right w:val="none" w:sz="0" w:space="0" w:color="auto"/>
      </w:divBdr>
    </w:div>
    <w:div w:id="130514847">
      <w:bodyDiv w:val="1"/>
      <w:marLeft w:val="0"/>
      <w:marRight w:val="0"/>
      <w:marTop w:val="0"/>
      <w:marBottom w:val="0"/>
      <w:divBdr>
        <w:top w:val="none" w:sz="0" w:space="0" w:color="auto"/>
        <w:left w:val="none" w:sz="0" w:space="0" w:color="auto"/>
        <w:bottom w:val="none" w:sz="0" w:space="0" w:color="auto"/>
        <w:right w:val="none" w:sz="0" w:space="0" w:color="auto"/>
      </w:divBdr>
    </w:div>
    <w:div w:id="220219688">
      <w:bodyDiv w:val="1"/>
      <w:marLeft w:val="0"/>
      <w:marRight w:val="0"/>
      <w:marTop w:val="0"/>
      <w:marBottom w:val="0"/>
      <w:divBdr>
        <w:top w:val="none" w:sz="0" w:space="0" w:color="auto"/>
        <w:left w:val="none" w:sz="0" w:space="0" w:color="auto"/>
        <w:bottom w:val="none" w:sz="0" w:space="0" w:color="auto"/>
        <w:right w:val="none" w:sz="0" w:space="0" w:color="auto"/>
      </w:divBdr>
    </w:div>
    <w:div w:id="275913719">
      <w:bodyDiv w:val="1"/>
      <w:marLeft w:val="0"/>
      <w:marRight w:val="0"/>
      <w:marTop w:val="0"/>
      <w:marBottom w:val="0"/>
      <w:divBdr>
        <w:top w:val="none" w:sz="0" w:space="0" w:color="auto"/>
        <w:left w:val="none" w:sz="0" w:space="0" w:color="auto"/>
        <w:bottom w:val="none" w:sz="0" w:space="0" w:color="auto"/>
        <w:right w:val="none" w:sz="0" w:space="0" w:color="auto"/>
      </w:divBdr>
    </w:div>
    <w:div w:id="284846750">
      <w:bodyDiv w:val="1"/>
      <w:marLeft w:val="0"/>
      <w:marRight w:val="0"/>
      <w:marTop w:val="0"/>
      <w:marBottom w:val="0"/>
      <w:divBdr>
        <w:top w:val="none" w:sz="0" w:space="0" w:color="auto"/>
        <w:left w:val="none" w:sz="0" w:space="0" w:color="auto"/>
        <w:bottom w:val="none" w:sz="0" w:space="0" w:color="auto"/>
        <w:right w:val="none" w:sz="0" w:space="0" w:color="auto"/>
      </w:divBdr>
    </w:div>
    <w:div w:id="321273747">
      <w:bodyDiv w:val="1"/>
      <w:marLeft w:val="0"/>
      <w:marRight w:val="0"/>
      <w:marTop w:val="0"/>
      <w:marBottom w:val="0"/>
      <w:divBdr>
        <w:top w:val="none" w:sz="0" w:space="0" w:color="auto"/>
        <w:left w:val="none" w:sz="0" w:space="0" w:color="auto"/>
        <w:bottom w:val="none" w:sz="0" w:space="0" w:color="auto"/>
        <w:right w:val="none" w:sz="0" w:space="0" w:color="auto"/>
      </w:divBdr>
    </w:div>
    <w:div w:id="345982836">
      <w:bodyDiv w:val="1"/>
      <w:marLeft w:val="0"/>
      <w:marRight w:val="0"/>
      <w:marTop w:val="0"/>
      <w:marBottom w:val="0"/>
      <w:divBdr>
        <w:top w:val="none" w:sz="0" w:space="0" w:color="auto"/>
        <w:left w:val="none" w:sz="0" w:space="0" w:color="auto"/>
        <w:bottom w:val="none" w:sz="0" w:space="0" w:color="auto"/>
        <w:right w:val="none" w:sz="0" w:space="0" w:color="auto"/>
      </w:divBdr>
    </w:div>
    <w:div w:id="394280623">
      <w:bodyDiv w:val="1"/>
      <w:marLeft w:val="0"/>
      <w:marRight w:val="0"/>
      <w:marTop w:val="0"/>
      <w:marBottom w:val="0"/>
      <w:divBdr>
        <w:top w:val="none" w:sz="0" w:space="0" w:color="auto"/>
        <w:left w:val="none" w:sz="0" w:space="0" w:color="auto"/>
        <w:bottom w:val="none" w:sz="0" w:space="0" w:color="auto"/>
        <w:right w:val="none" w:sz="0" w:space="0" w:color="auto"/>
      </w:divBdr>
    </w:div>
    <w:div w:id="402802207">
      <w:bodyDiv w:val="1"/>
      <w:marLeft w:val="0"/>
      <w:marRight w:val="0"/>
      <w:marTop w:val="0"/>
      <w:marBottom w:val="0"/>
      <w:divBdr>
        <w:top w:val="none" w:sz="0" w:space="0" w:color="auto"/>
        <w:left w:val="none" w:sz="0" w:space="0" w:color="auto"/>
        <w:bottom w:val="none" w:sz="0" w:space="0" w:color="auto"/>
        <w:right w:val="none" w:sz="0" w:space="0" w:color="auto"/>
      </w:divBdr>
    </w:div>
    <w:div w:id="446512606">
      <w:bodyDiv w:val="1"/>
      <w:marLeft w:val="0"/>
      <w:marRight w:val="0"/>
      <w:marTop w:val="0"/>
      <w:marBottom w:val="0"/>
      <w:divBdr>
        <w:top w:val="none" w:sz="0" w:space="0" w:color="auto"/>
        <w:left w:val="none" w:sz="0" w:space="0" w:color="auto"/>
        <w:bottom w:val="none" w:sz="0" w:space="0" w:color="auto"/>
        <w:right w:val="none" w:sz="0" w:space="0" w:color="auto"/>
      </w:divBdr>
    </w:div>
    <w:div w:id="511996261">
      <w:bodyDiv w:val="1"/>
      <w:marLeft w:val="0"/>
      <w:marRight w:val="0"/>
      <w:marTop w:val="0"/>
      <w:marBottom w:val="0"/>
      <w:divBdr>
        <w:top w:val="none" w:sz="0" w:space="0" w:color="auto"/>
        <w:left w:val="none" w:sz="0" w:space="0" w:color="auto"/>
        <w:bottom w:val="none" w:sz="0" w:space="0" w:color="auto"/>
        <w:right w:val="none" w:sz="0" w:space="0" w:color="auto"/>
      </w:divBdr>
    </w:div>
    <w:div w:id="654644010">
      <w:bodyDiv w:val="1"/>
      <w:marLeft w:val="0"/>
      <w:marRight w:val="0"/>
      <w:marTop w:val="0"/>
      <w:marBottom w:val="0"/>
      <w:divBdr>
        <w:top w:val="none" w:sz="0" w:space="0" w:color="auto"/>
        <w:left w:val="none" w:sz="0" w:space="0" w:color="auto"/>
        <w:bottom w:val="none" w:sz="0" w:space="0" w:color="auto"/>
        <w:right w:val="none" w:sz="0" w:space="0" w:color="auto"/>
      </w:divBdr>
    </w:div>
    <w:div w:id="688068561">
      <w:bodyDiv w:val="1"/>
      <w:marLeft w:val="0"/>
      <w:marRight w:val="0"/>
      <w:marTop w:val="0"/>
      <w:marBottom w:val="0"/>
      <w:divBdr>
        <w:top w:val="none" w:sz="0" w:space="0" w:color="auto"/>
        <w:left w:val="none" w:sz="0" w:space="0" w:color="auto"/>
        <w:bottom w:val="none" w:sz="0" w:space="0" w:color="auto"/>
        <w:right w:val="none" w:sz="0" w:space="0" w:color="auto"/>
      </w:divBdr>
    </w:div>
    <w:div w:id="760638898">
      <w:bodyDiv w:val="1"/>
      <w:marLeft w:val="0"/>
      <w:marRight w:val="0"/>
      <w:marTop w:val="0"/>
      <w:marBottom w:val="0"/>
      <w:divBdr>
        <w:top w:val="none" w:sz="0" w:space="0" w:color="auto"/>
        <w:left w:val="none" w:sz="0" w:space="0" w:color="auto"/>
        <w:bottom w:val="none" w:sz="0" w:space="0" w:color="auto"/>
        <w:right w:val="none" w:sz="0" w:space="0" w:color="auto"/>
      </w:divBdr>
    </w:div>
    <w:div w:id="777526908">
      <w:bodyDiv w:val="1"/>
      <w:marLeft w:val="0"/>
      <w:marRight w:val="0"/>
      <w:marTop w:val="0"/>
      <w:marBottom w:val="0"/>
      <w:divBdr>
        <w:top w:val="none" w:sz="0" w:space="0" w:color="auto"/>
        <w:left w:val="none" w:sz="0" w:space="0" w:color="auto"/>
        <w:bottom w:val="none" w:sz="0" w:space="0" w:color="auto"/>
        <w:right w:val="none" w:sz="0" w:space="0" w:color="auto"/>
      </w:divBdr>
    </w:div>
    <w:div w:id="877158026">
      <w:bodyDiv w:val="1"/>
      <w:marLeft w:val="0"/>
      <w:marRight w:val="0"/>
      <w:marTop w:val="0"/>
      <w:marBottom w:val="0"/>
      <w:divBdr>
        <w:top w:val="none" w:sz="0" w:space="0" w:color="auto"/>
        <w:left w:val="none" w:sz="0" w:space="0" w:color="auto"/>
        <w:bottom w:val="none" w:sz="0" w:space="0" w:color="auto"/>
        <w:right w:val="none" w:sz="0" w:space="0" w:color="auto"/>
      </w:divBdr>
    </w:div>
    <w:div w:id="922639725">
      <w:bodyDiv w:val="1"/>
      <w:marLeft w:val="0"/>
      <w:marRight w:val="0"/>
      <w:marTop w:val="0"/>
      <w:marBottom w:val="0"/>
      <w:divBdr>
        <w:top w:val="none" w:sz="0" w:space="0" w:color="auto"/>
        <w:left w:val="none" w:sz="0" w:space="0" w:color="auto"/>
        <w:bottom w:val="none" w:sz="0" w:space="0" w:color="auto"/>
        <w:right w:val="none" w:sz="0" w:space="0" w:color="auto"/>
      </w:divBdr>
    </w:div>
    <w:div w:id="926577856">
      <w:bodyDiv w:val="1"/>
      <w:marLeft w:val="0"/>
      <w:marRight w:val="0"/>
      <w:marTop w:val="0"/>
      <w:marBottom w:val="0"/>
      <w:divBdr>
        <w:top w:val="none" w:sz="0" w:space="0" w:color="auto"/>
        <w:left w:val="none" w:sz="0" w:space="0" w:color="auto"/>
        <w:bottom w:val="none" w:sz="0" w:space="0" w:color="auto"/>
        <w:right w:val="none" w:sz="0" w:space="0" w:color="auto"/>
      </w:divBdr>
    </w:div>
    <w:div w:id="974602867">
      <w:bodyDiv w:val="1"/>
      <w:marLeft w:val="0"/>
      <w:marRight w:val="0"/>
      <w:marTop w:val="0"/>
      <w:marBottom w:val="0"/>
      <w:divBdr>
        <w:top w:val="none" w:sz="0" w:space="0" w:color="auto"/>
        <w:left w:val="none" w:sz="0" w:space="0" w:color="auto"/>
        <w:bottom w:val="none" w:sz="0" w:space="0" w:color="auto"/>
        <w:right w:val="none" w:sz="0" w:space="0" w:color="auto"/>
      </w:divBdr>
    </w:div>
    <w:div w:id="980768113">
      <w:bodyDiv w:val="1"/>
      <w:marLeft w:val="0"/>
      <w:marRight w:val="0"/>
      <w:marTop w:val="0"/>
      <w:marBottom w:val="0"/>
      <w:divBdr>
        <w:top w:val="none" w:sz="0" w:space="0" w:color="auto"/>
        <w:left w:val="none" w:sz="0" w:space="0" w:color="auto"/>
        <w:bottom w:val="none" w:sz="0" w:space="0" w:color="auto"/>
        <w:right w:val="none" w:sz="0" w:space="0" w:color="auto"/>
      </w:divBdr>
    </w:div>
    <w:div w:id="981931627">
      <w:bodyDiv w:val="1"/>
      <w:marLeft w:val="0"/>
      <w:marRight w:val="0"/>
      <w:marTop w:val="0"/>
      <w:marBottom w:val="0"/>
      <w:divBdr>
        <w:top w:val="none" w:sz="0" w:space="0" w:color="auto"/>
        <w:left w:val="none" w:sz="0" w:space="0" w:color="auto"/>
        <w:bottom w:val="none" w:sz="0" w:space="0" w:color="auto"/>
        <w:right w:val="none" w:sz="0" w:space="0" w:color="auto"/>
      </w:divBdr>
    </w:div>
    <w:div w:id="988753568">
      <w:bodyDiv w:val="1"/>
      <w:marLeft w:val="0"/>
      <w:marRight w:val="0"/>
      <w:marTop w:val="0"/>
      <w:marBottom w:val="0"/>
      <w:divBdr>
        <w:top w:val="none" w:sz="0" w:space="0" w:color="auto"/>
        <w:left w:val="none" w:sz="0" w:space="0" w:color="auto"/>
        <w:bottom w:val="none" w:sz="0" w:space="0" w:color="auto"/>
        <w:right w:val="none" w:sz="0" w:space="0" w:color="auto"/>
      </w:divBdr>
    </w:div>
    <w:div w:id="994183999">
      <w:bodyDiv w:val="1"/>
      <w:marLeft w:val="0"/>
      <w:marRight w:val="0"/>
      <w:marTop w:val="0"/>
      <w:marBottom w:val="0"/>
      <w:divBdr>
        <w:top w:val="none" w:sz="0" w:space="0" w:color="auto"/>
        <w:left w:val="none" w:sz="0" w:space="0" w:color="auto"/>
        <w:bottom w:val="none" w:sz="0" w:space="0" w:color="auto"/>
        <w:right w:val="none" w:sz="0" w:space="0" w:color="auto"/>
      </w:divBdr>
    </w:div>
    <w:div w:id="1047879608">
      <w:bodyDiv w:val="1"/>
      <w:marLeft w:val="0"/>
      <w:marRight w:val="0"/>
      <w:marTop w:val="0"/>
      <w:marBottom w:val="0"/>
      <w:divBdr>
        <w:top w:val="none" w:sz="0" w:space="0" w:color="auto"/>
        <w:left w:val="none" w:sz="0" w:space="0" w:color="auto"/>
        <w:bottom w:val="none" w:sz="0" w:space="0" w:color="auto"/>
        <w:right w:val="none" w:sz="0" w:space="0" w:color="auto"/>
      </w:divBdr>
    </w:div>
    <w:div w:id="1052773561">
      <w:bodyDiv w:val="1"/>
      <w:marLeft w:val="0"/>
      <w:marRight w:val="0"/>
      <w:marTop w:val="0"/>
      <w:marBottom w:val="0"/>
      <w:divBdr>
        <w:top w:val="none" w:sz="0" w:space="0" w:color="auto"/>
        <w:left w:val="none" w:sz="0" w:space="0" w:color="auto"/>
        <w:bottom w:val="none" w:sz="0" w:space="0" w:color="auto"/>
        <w:right w:val="none" w:sz="0" w:space="0" w:color="auto"/>
      </w:divBdr>
    </w:div>
    <w:div w:id="1062018409">
      <w:bodyDiv w:val="1"/>
      <w:marLeft w:val="0"/>
      <w:marRight w:val="0"/>
      <w:marTop w:val="0"/>
      <w:marBottom w:val="0"/>
      <w:divBdr>
        <w:top w:val="none" w:sz="0" w:space="0" w:color="auto"/>
        <w:left w:val="none" w:sz="0" w:space="0" w:color="auto"/>
        <w:bottom w:val="none" w:sz="0" w:space="0" w:color="auto"/>
        <w:right w:val="none" w:sz="0" w:space="0" w:color="auto"/>
      </w:divBdr>
    </w:div>
    <w:div w:id="1063453388">
      <w:bodyDiv w:val="1"/>
      <w:marLeft w:val="0"/>
      <w:marRight w:val="0"/>
      <w:marTop w:val="0"/>
      <w:marBottom w:val="0"/>
      <w:divBdr>
        <w:top w:val="none" w:sz="0" w:space="0" w:color="auto"/>
        <w:left w:val="none" w:sz="0" w:space="0" w:color="auto"/>
        <w:bottom w:val="none" w:sz="0" w:space="0" w:color="auto"/>
        <w:right w:val="none" w:sz="0" w:space="0" w:color="auto"/>
      </w:divBdr>
    </w:div>
    <w:div w:id="1073548845">
      <w:bodyDiv w:val="1"/>
      <w:marLeft w:val="0"/>
      <w:marRight w:val="0"/>
      <w:marTop w:val="0"/>
      <w:marBottom w:val="0"/>
      <w:divBdr>
        <w:top w:val="none" w:sz="0" w:space="0" w:color="auto"/>
        <w:left w:val="none" w:sz="0" w:space="0" w:color="auto"/>
        <w:bottom w:val="none" w:sz="0" w:space="0" w:color="auto"/>
        <w:right w:val="none" w:sz="0" w:space="0" w:color="auto"/>
      </w:divBdr>
    </w:div>
    <w:div w:id="1092166702">
      <w:bodyDiv w:val="1"/>
      <w:marLeft w:val="0"/>
      <w:marRight w:val="0"/>
      <w:marTop w:val="0"/>
      <w:marBottom w:val="0"/>
      <w:divBdr>
        <w:top w:val="none" w:sz="0" w:space="0" w:color="auto"/>
        <w:left w:val="none" w:sz="0" w:space="0" w:color="auto"/>
        <w:bottom w:val="none" w:sz="0" w:space="0" w:color="auto"/>
        <w:right w:val="none" w:sz="0" w:space="0" w:color="auto"/>
      </w:divBdr>
    </w:div>
    <w:div w:id="1122306137">
      <w:bodyDiv w:val="1"/>
      <w:marLeft w:val="0"/>
      <w:marRight w:val="0"/>
      <w:marTop w:val="0"/>
      <w:marBottom w:val="0"/>
      <w:divBdr>
        <w:top w:val="none" w:sz="0" w:space="0" w:color="auto"/>
        <w:left w:val="none" w:sz="0" w:space="0" w:color="auto"/>
        <w:bottom w:val="none" w:sz="0" w:space="0" w:color="auto"/>
        <w:right w:val="none" w:sz="0" w:space="0" w:color="auto"/>
      </w:divBdr>
    </w:div>
    <w:div w:id="1184170107">
      <w:bodyDiv w:val="1"/>
      <w:marLeft w:val="0"/>
      <w:marRight w:val="0"/>
      <w:marTop w:val="0"/>
      <w:marBottom w:val="0"/>
      <w:divBdr>
        <w:top w:val="none" w:sz="0" w:space="0" w:color="auto"/>
        <w:left w:val="none" w:sz="0" w:space="0" w:color="auto"/>
        <w:bottom w:val="none" w:sz="0" w:space="0" w:color="auto"/>
        <w:right w:val="none" w:sz="0" w:space="0" w:color="auto"/>
      </w:divBdr>
    </w:div>
    <w:div w:id="1205605326">
      <w:bodyDiv w:val="1"/>
      <w:marLeft w:val="0"/>
      <w:marRight w:val="0"/>
      <w:marTop w:val="0"/>
      <w:marBottom w:val="0"/>
      <w:divBdr>
        <w:top w:val="none" w:sz="0" w:space="0" w:color="auto"/>
        <w:left w:val="none" w:sz="0" w:space="0" w:color="auto"/>
        <w:bottom w:val="none" w:sz="0" w:space="0" w:color="auto"/>
        <w:right w:val="none" w:sz="0" w:space="0" w:color="auto"/>
      </w:divBdr>
    </w:div>
    <w:div w:id="1381202877">
      <w:bodyDiv w:val="1"/>
      <w:marLeft w:val="0"/>
      <w:marRight w:val="0"/>
      <w:marTop w:val="0"/>
      <w:marBottom w:val="0"/>
      <w:divBdr>
        <w:top w:val="none" w:sz="0" w:space="0" w:color="auto"/>
        <w:left w:val="none" w:sz="0" w:space="0" w:color="auto"/>
        <w:bottom w:val="none" w:sz="0" w:space="0" w:color="auto"/>
        <w:right w:val="none" w:sz="0" w:space="0" w:color="auto"/>
      </w:divBdr>
    </w:div>
    <w:div w:id="1384868133">
      <w:bodyDiv w:val="1"/>
      <w:marLeft w:val="0"/>
      <w:marRight w:val="0"/>
      <w:marTop w:val="0"/>
      <w:marBottom w:val="0"/>
      <w:divBdr>
        <w:top w:val="none" w:sz="0" w:space="0" w:color="auto"/>
        <w:left w:val="none" w:sz="0" w:space="0" w:color="auto"/>
        <w:bottom w:val="none" w:sz="0" w:space="0" w:color="auto"/>
        <w:right w:val="none" w:sz="0" w:space="0" w:color="auto"/>
      </w:divBdr>
    </w:div>
    <w:div w:id="1391491286">
      <w:bodyDiv w:val="1"/>
      <w:marLeft w:val="0"/>
      <w:marRight w:val="0"/>
      <w:marTop w:val="0"/>
      <w:marBottom w:val="0"/>
      <w:divBdr>
        <w:top w:val="none" w:sz="0" w:space="0" w:color="auto"/>
        <w:left w:val="none" w:sz="0" w:space="0" w:color="auto"/>
        <w:bottom w:val="none" w:sz="0" w:space="0" w:color="auto"/>
        <w:right w:val="none" w:sz="0" w:space="0" w:color="auto"/>
      </w:divBdr>
    </w:div>
    <w:div w:id="1431773090">
      <w:bodyDiv w:val="1"/>
      <w:marLeft w:val="0"/>
      <w:marRight w:val="0"/>
      <w:marTop w:val="0"/>
      <w:marBottom w:val="0"/>
      <w:divBdr>
        <w:top w:val="none" w:sz="0" w:space="0" w:color="auto"/>
        <w:left w:val="none" w:sz="0" w:space="0" w:color="auto"/>
        <w:bottom w:val="none" w:sz="0" w:space="0" w:color="auto"/>
        <w:right w:val="none" w:sz="0" w:space="0" w:color="auto"/>
      </w:divBdr>
    </w:div>
    <w:div w:id="1438410084">
      <w:bodyDiv w:val="1"/>
      <w:marLeft w:val="0"/>
      <w:marRight w:val="0"/>
      <w:marTop w:val="0"/>
      <w:marBottom w:val="0"/>
      <w:divBdr>
        <w:top w:val="none" w:sz="0" w:space="0" w:color="auto"/>
        <w:left w:val="none" w:sz="0" w:space="0" w:color="auto"/>
        <w:bottom w:val="none" w:sz="0" w:space="0" w:color="auto"/>
        <w:right w:val="none" w:sz="0" w:space="0" w:color="auto"/>
      </w:divBdr>
    </w:div>
    <w:div w:id="1478303875">
      <w:bodyDiv w:val="1"/>
      <w:marLeft w:val="0"/>
      <w:marRight w:val="0"/>
      <w:marTop w:val="0"/>
      <w:marBottom w:val="0"/>
      <w:divBdr>
        <w:top w:val="none" w:sz="0" w:space="0" w:color="auto"/>
        <w:left w:val="none" w:sz="0" w:space="0" w:color="auto"/>
        <w:bottom w:val="none" w:sz="0" w:space="0" w:color="auto"/>
        <w:right w:val="none" w:sz="0" w:space="0" w:color="auto"/>
      </w:divBdr>
    </w:div>
    <w:div w:id="1501308776">
      <w:bodyDiv w:val="1"/>
      <w:marLeft w:val="0"/>
      <w:marRight w:val="0"/>
      <w:marTop w:val="0"/>
      <w:marBottom w:val="0"/>
      <w:divBdr>
        <w:top w:val="none" w:sz="0" w:space="0" w:color="auto"/>
        <w:left w:val="none" w:sz="0" w:space="0" w:color="auto"/>
        <w:bottom w:val="none" w:sz="0" w:space="0" w:color="auto"/>
        <w:right w:val="none" w:sz="0" w:space="0" w:color="auto"/>
      </w:divBdr>
    </w:div>
    <w:div w:id="1519270096">
      <w:bodyDiv w:val="1"/>
      <w:marLeft w:val="0"/>
      <w:marRight w:val="0"/>
      <w:marTop w:val="0"/>
      <w:marBottom w:val="0"/>
      <w:divBdr>
        <w:top w:val="none" w:sz="0" w:space="0" w:color="auto"/>
        <w:left w:val="none" w:sz="0" w:space="0" w:color="auto"/>
        <w:bottom w:val="none" w:sz="0" w:space="0" w:color="auto"/>
        <w:right w:val="none" w:sz="0" w:space="0" w:color="auto"/>
      </w:divBdr>
    </w:div>
    <w:div w:id="1591617935">
      <w:bodyDiv w:val="1"/>
      <w:marLeft w:val="0"/>
      <w:marRight w:val="0"/>
      <w:marTop w:val="0"/>
      <w:marBottom w:val="0"/>
      <w:divBdr>
        <w:top w:val="none" w:sz="0" w:space="0" w:color="auto"/>
        <w:left w:val="none" w:sz="0" w:space="0" w:color="auto"/>
        <w:bottom w:val="none" w:sz="0" w:space="0" w:color="auto"/>
        <w:right w:val="none" w:sz="0" w:space="0" w:color="auto"/>
      </w:divBdr>
    </w:div>
    <w:div w:id="1616592099">
      <w:bodyDiv w:val="1"/>
      <w:marLeft w:val="0"/>
      <w:marRight w:val="0"/>
      <w:marTop w:val="0"/>
      <w:marBottom w:val="0"/>
      <w:divBdr>
        <w:top w:val="none" w:sz="0" w:space="0" w:color="auto"/>
        <w:left w:val="none" w:sz="0" w:space="0" w:color="auto"/>
        <w:bottom w:val="none" w:sz="0" w:space="0" w:color="auto"/>
        <w:right w:val="none" w:sz="0" w:space="0" w:color="auto"/>
      </w:divBdr>
    </w:div>
    <w:div w:id="1625696254">
      <w:bodyDiv w:val="1"/>
      <w:marLeft w:val="0"/>
      <w:marRight w:val="0"/>
      <w:marTop w:val="0"/>
      <w:marBottom w:val="0"/>
      <w:divBdr>
        <w:top w:val="none" w:sz="0" w:space="0" w:color="auto"/>
        <w:left w:val="none" w:sz="0" w:space="0" w:color="auto"/>
        <w:bottom w:val="none" w:sz="0" w:space="0" w:color="auto"/>
        <w:right w:val="none" w:sz="0" w:space="0" w:color="auto"/>
      </w:divBdr>
    </w:div>
    <w:div w:id="1642533770">
      <w:bodyDiv w:val="1"/>
      <w:marLeft w:val="0"/>
      <w:marRight w:val="0"/>
      <w:marTop w:val="0"/>
      <w:marBottom w:val="0"/>
      <w:divBdr>
        <w:top w:val="none" w:sz="0" w:space="0" w:color="auto"/>
        <w:left w:val="none" w:sz="0" w:space="0" w:color="auto"/>
        <w:bottom w:val="none" w:sz="0" w:space="0" w:color="auto"/>
        <w:right w:val="none" w:sz="0" w:space="0" w:color="auto"/>
      </w:divBdr>
    </w:div>
    <w:div w:id="1681009050">
      <w:bodyDiv w:val="1"/>
      <w:marLeft w:val="0"/>
      <w:marRight w:val="0"/>
      <w:marTop w:val="0"/>
      <w:marBottom w:val="0"/>
      <w:divBdr>
        <w:top w:val="none" w:sz="0" w:space="0" w:color="auto"/>
        <w:left w:val="none" w:sz="0" w:space="0" w:color="auto"/>
        <w:bottom w:val="none" w:sz="0" w:space="0" w:color="auto"/>
        <w:right w:val="none" w:sz="0" w:space="0" w:color="auto"/>
      </w:divBdr>
    </w:div>
    <w:div w:id="1857957001">
      <w:bodyDiv w:val="1"/>
      <w:marLeft w:val="0"/>
      <w:marRight w:val="0"/>
      <w:marTop w:val="0"/>
      <w:marBottom w:val="0"/>
      <w:divBdr>
        <w:top w:val="none" w:sz="0" w:space="0" w:color="auto"/>
        <w:left w:val="none" w:sz="0" w:space="0" w:color="auto"/>
        <w:bottom w:val="none" w:sz="0" w:space="0" w:color="auto"/>
        <w:right w:val="none" w:sz="0" w:space="0" w:color="auto"/>
      </w:divBdr>
    </w:div>
    <w:div w:id="1892034924">
      <w:bodyDiv w:val="1"/>
      <w:marLeft w:val="0"/>
      <w:marRight w:val="0"/>
      <w:marTop w:val="0"/>
      <w:marBottom w:val="0"/>
      <w:divBdr>
        <w:top w:val="none" w:sz="0" w:space="0" w:color="auto"/>
        <w:left w:val="none" w:sz="0" w:space="0" w:color="auto"/>
        <w:bottom w:val="none" w:sz="0" w:space="0" w:color="auto"/>
        <w:right w:val="none" w:sz="0" w:space="0" w:color="auto"/>
      </w:divBdr>
    </w:div>
    <w:div w:id="1905872066">
      <w:bodyDiv w:val="1"/>
      <w:marLeft w:val="0"/>
      <w:marRight w:val="0"/>
      <w:marTop w:val="0"/>
      <w:marBottom w:val="0"/>
      <w:divBdr>
        <w:top w:val="none" w:sz="0" w:space="0" w:color="auto"/>
        <w:left w:val="none" w:sz="0" w:space="0" w:color="auto"/>
        <w:bottom w:val="none" w:sz="0" w:space="0" w:color="auto"/>
        <w:right w:val="none" w:sz="0" w:space="0" w:color="auto"/>
      </w:divBdr>
    </w:div>
    <w:div w:id="1926647272">
      <w:bodyDiv w:val="1"/>
      <w:marLeft w:val="0"/>
      <w:marRight w:val="0"/>
      <w:marTop w:val="0"/>
      <w:marBottom w:val="0"/>
      <w:divBdr>
        <w:top w:val="none" w:sz="0" w:space="0" w:color="auto"/>
        <w:left w:val="none" w:sz="0" w:space="0" w:color="auto"/>
        <w:bottom w:val="none" w:sz="0" w:space="0" w:color="auto"/>
        <w:right w:val="none" w:sz="0" w:space="0" w:color="auto"/>
      </w:divBdr>
    </w:div>
    <w:div w:id="1960606328">
      <w:bodyDiv w:val="1"/>
      <w:marLeft w:val="0"/>
      <w:marRight w:val="0"/>
      <w:marTop w:val="0"/>
      <w:marBottom w:val="0"/>
      <w:divBdr>
        <w:top w:val="none" w:sz="0" w:space="0" w:color="auto"/>
        <w:left w:val="none" w:sz="0" w:space="0" w:color="auto"/>
        <w:bottom w:val="none" w:sz="0" w:space="0" w:color="auto"/>
        <w:right w:val="none" w:sz="0" w:space="0" w:color="auto"/>
      </w:divBdr>
    </w:div>
    <w:div w:id="2066028659">
      <w:bodyDiv w:val="1"/>
      <w:marLeft w:val="0"/>
      <w:marRight w:val="0"/>
      <w:marTop w:val="0"/>
      <w:marBottom w:val="0"/>
      <w:divBdr>
        <w:top w:val="none" w:sz="0" w:space="0" w:color="auto"/>
        <w:left w:val="none" w:sz="0" w:space="0" w:color="auto"/>
        <w:bottom w:val="none" w:sz="0" w:space="0" w:color="auto"/>
        <w:right w:val="none" w:sz="0" w:space="0" w:color="auto"/>
      </w:divBdr>
    </w:div>
    <w:div w:id="2072148616">
      <w:bodyDiv w:val="1"/>
      <w:marLeft w:val="0"/>
      <w:marRight w:val="0"/>
      <w:marTop w:val="0"/>
      <w:marBottom w:val="0"/>
      <w:divBdr>
        <w:top w:val="none" w:sz="0" w:space="0" w:color="auto"/>
        <w:left w:val="none" w:sz="0" w:space="0" w:color="auto"/>
        <w:bottom w:val="none" w:sz="0" w:space="0" w:color="auto"/>
        <w:right w:val="none" w:sz="0" w:space="0" w:color="auto"/>
      </w:divBdr>
    </w:div>
    <w:div w:id="2113623469">
      <w:bodyDiv w:val="1"/>
      <w:marLeft w:val="0"/>
      <w:marRight w:val="0"/>
      <w:marTop w:val="0"/>
      <w:marBottom w:val="0"/>
      <w:divBdr>
        <w:top w:val="none" w:sz="0" w:space="0" w:color="auto"/>
        <w:left w:val="none" w:sz="0" w:space="0" w:color="auto"/>
        <w:bottom w:val="none" w:sz="0" w:space="0" w:color="auto"/>
        <w:right w:val="none" w:sz="0" w:space="0" w:color="auto"/>
      </w:divBdr>
    </w:div>
    <w:div w:id="2135905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EC4F3B-17F1-4EC1-A082-B9FB2FF87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FB39041E</Template>
  <TotalTime>3</TotalTime>
  <Pages>5</Pages>
  <Words>1196</Words>
  <Characters>5948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DRAFT</vt:lpstr>
    </vt:vector>
  </TitlesOfParts>
  <Company>OCC</Company>
  <LinksUpToDate>false</LinksUpToDate>
  <CharactersWithSpaces>7130</CharactersWithSpaces>
  <SharedDoc>false</SharedDoc>
  <HLinks>
    <vt:vector size="6" baseType="variant">
      <vt:variant>
        <vt:i4>3407943</vt:i4>
      </vt:variant>
      <vt:variant>
        <vt:i4>0</vt:i4>
      </vt:variant>
      <vt:variant>
        <vt:i4>0</vt:i4>
      </vt:variant>
      <vt:variant>
        <vt:i4>5</vt:i4>
      </vt:variant>
      <vt:variant>
        <vt:lpwstr>mailto:nkennedy@oxford.gov.uk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nkennedy</dc:creator>
  <cp:lastModifiedBy>Phythian, Catherine - Oxford City Council</cp:lastModifiedBy>
  <cp:revision>4</cp:revision>
  <cp:lastPrinted>2015-08-10T13:07:00Z</cp:lastPrinted>
  <dcterms:created xsi:type="dcterms:W3CDTF">2015-12-04T15:27:00Z</dcterms:created>
  <dcterms:modified xsi:type="dcterms:W3CDTF">2015-12-07T09:31:00Z</dcterms:modified>
</cp:coreProperties>
</file>